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44cca8eb273843e8ab7e302316c949aa658f691"/>
    <w:p>
      <w:pPr>
        <w:pStyle w:val="Heading1"/>
      </w:pPr>
      <w:r>
        <w:t xml:space="preserve">Research Proposal: Advancing Pedagogical Excellence for Primary Teachers in China Guangzhou</w:t>
      </w:r>
    </w:p>
    <w:bookmarkStart w:id="20" w:name="introduction-and-background"/>
    <w:p>
      <w:pPr>
        <w:pStyle w:val="Heading2"/>
      </w:pPr>
      <w:r>
        <w:t xml:space="preserve">1. Introduction and Background</w:t>
      </w:r>
    </w:p>
    <w:p>
      <w:pPr>
        <w:pStyle w:val="FirstParagraph"/>
      </w:pPr>
      <w:r>
        <w:t xml:space="preserve">The educational landscape of China Guangzhou has undergone remarkable transformation in recent decades, driven by the nation's commitment to quality education. As one of China's most dynamic metropolises, Guangzhou faces unique challenges in sustaining high standards for its primary education system (China National Education Development Report, 2023). With over 1.8 million primary students enrolled across 1,200+ schools in the city (Guangzhou Education Bureau, 2023), the professional development of</w:t>
      </w:r>
      <w:r>
        <w:t xml:space="preserve"> </w:t>
      </w:r>
      <w:r>
        <w:rPr>
          <w:bCs/>
          <w:b/>
        </w:rPr>
        <w:t xml:space="preserve">Teacher Primary</w:t>
      </w:r>
      <w:r>
        <w:t xml:space="preserve"> </w:t>
      </w:r>
      <w:r>
        <w:t xml:space="preserve">is not merely an academic concern but a societal imperative. Current national policies under the "Double Reduction" initiative and new curriculum standards demand that</w:t>
      </w:r>
      <w:r>
        <w:t xml:space="preserve"> </w:t>
      </w:r>
      <w:r>
        <w:rPr>
          <w:bCs/>
          <w:b/>
        </w:rPr>
        <w:t xml:space="preserve">Teacher Primary</w:t>
      </w:r>
      <w:r>
        <w:t xml:space="preserve"> </w:t>
      </w:r>
      <w:r>
        <w:t xml:space="preserve">in</w:t>
      </w:r>
      <w:r>
        <w:t xml:space="preserve"> </w:t>
      </w:r>
      <w:r>
        <w:rPr>
          <w:bCs/>
          <w:b/>
        </w:rPr>
        <w:t xml:space="preserve">China Guangzhou</w:t>
      </w:r>
      <w:r>
        <w:t xml:space="preserve"> </w:t>
      </w:r>
      <w:r>
        <w:t xml:space="preserve">evolve beyond traditional pedagogy to embrace student-centered learning, digital integration, and socio-emotional development. This Research Proposal addresses the urgent need for evidence-based frameworks to support this transition.</w:t>
      </w:r>
    </w:p>
    <w:bookmarkEnd w:id="20"/>
    <w:bookmarkStart w:id="21" w:name="problem-statement"/>
    <w:p>
      <w:pPr>
        <w:pStyle w:val="Heading2"/>
      </w:pPr>
      <w:r>
        <w:t xml:space="preserve">2. Problem Statement</w:t>
      </w:r>
    </w:p>
    <w:p>
      <w:pPr>
        <w:pStyle w:val="FirstParagraph"/>
      </w:pPr>
      <w:r>
        <w:t xml:space="preserve">A critical gap exists between national educational reforms and classroom implementation in Guangzhou's primary schools. While policies emphasize 21st-century skills, many</w:t>
      </w:r>
      <w:r>
        <w:t xml:space="preserve"> </w:t>
      </w:r>
      <w:r>
        <w:rPr>
          <w:bCs/>
          <w:b/>
        </w:rPr>
        <w:t xml:space="preserve">Teacher Primary</w:t>
      </w:r>
      <w:r>
        <w:t xml:space="preserve"> </w:t>
      </w:r>
      <w:r>
        <w:t xml:space="preserve">report insufficient training in technology integration (only 38% feel "well-prepared" for digital tools per Guangdong Provincial Survey, 2024). Moreover, rural-urban disparities persist: Guangzhou's suburban districts show a 45% higher student-teacher ratio than central urban areas, exacerbating workload pressures on</w:t>
      </w:r>
      <w:r>
        <w:t xml:space="preserve"> </w:t>
      </w:r>
      <w:r>
        <w:rPr>
          <w:bCs/>
          <w:b/>
        </w:rPr>
        <w:t xml:space="preserve">Teacher Primary</w:t>
      </w:r>
      <w:r>
        <w:t xml:space="preserve">. Without targeted professional development, these challenges threaten the sustainability of educational equity in one of China's most populous cities. This Research Proposal directly confronts this gap through context-specific interventions.</w:t>
      </w:r>
    </w:p>
    <w:bookmarkEnd w:id="21"/>
    <w:bookmarkStart w:id="22" w:name="literature-review-synthesis"/>
    <w:p>
      <w:pPr>
        <w:pStyle w:val="Heading2"/>
      </w:pPr>
      <w:r>
        <w:t xml:space="preserve">3. Literature Review (Synthesis)</w:t>
      </w:r>
    </w:p>
    <w:p>
      <w:pPr>
        <w:pStyle w:val="FirstParagraph"/>
      </w:pPr>
      <w:r>
        <w:t xml:space="preserve">Global studies confirm that effective teacher development requires contextual adaptation (Darling-Hammond, 2017). In East Asia, Singapore's "Teach Less Learn More" model demonstrates that sustained pedagogical coaching boosts student outcomes by 28% (Ministry of Education Singapore, 2022). However, Western models often overlook the collectivist cultural dynamics central to Chinese classrooms. Recent Chinese research highlights Guangzhou's unique challenges: a 2023 study in the *Journal of Educational Development* noted that urban</w:t>
      </w:r>
      <w:r>
        <w:t xml:space="preserve"> </w:t>
      </w:r>
      <w:r>
        <w:rPr>
          <w:bCs/>
          <w:b/>
        </w:rPr>
        <w:t xml:space="preserve">Teacher Primary</w:t>
      </w:r>
      <w:r>
        <w:t xml:space="preserve"> </w:t>
      </w:r>
      <w:r>
        <w:t xml:space="preserve">in Guangzhou struggle with implementing project-based learning due to standardized testing pressures. Crucially, no localized framework exists for scaling professional development across Guangzhou's heterogeneous school ecosystems—making this Research Proposal both timely and unprecedented.</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implement, and evaluate a culturally responsive professional development model for Primary Teachers in Guangzhou that aligns with China's 2023 National Curriculum Standards.</w:t>
      </w:r>
    </w:p>
    <w:p>
      <w:pPr>
        <w:pStyle w:val="BodyText"/>
      </w:pPr>
      <w:r>
        <w:rPr>
          <w:bCs/>
          <w:b/>
        </w:rPr>
        <w:t xml:space="preserve">Key Research Questions:</w:t>
      </w:r>
    </w:p>
    <w:p>
      <w:pPr>
        <w:numPr>
          <w:ilvl w:val="0"/>
          <w:numId w:val="1001"/>
        </w:numPr>
        <w:pStyle w:val="Compact"/>
      </w:pPr>
      <w:r>
        <w:t xml:space="preserve">How do contextual factors (urban/rural, school resources, student demographics) influence the effectiveness of teacher development in Guangzhou?</w:t>
      </w:r>
    </w:p>
    <w:p>
      <w:pPr>
        <w:numPr>
          <w:ilvl w:val="0"/>
          <w:numId w:val="1001"/>
        </w:numPr>
        <w:pStyle w:val="Compact"/>
      </w:pPr>
      <w:r>
        <w:t xml:space="preserve">What pedagogical strategies most significantly enhance Primary Teachers' ability to integrate digital tools while maintaining socio-emotional learning goals?</w:t>
      </w:r>
    </w:p>
    <w:p>
      <w:pPr>
        <w:numPr>
          <w:ilvl w:val="0"/>
          <w:numId w:val="1001"/>
        </w:numPr>
        <w:pStyle w:val="Compact"/>
      </w:pPr>
      <w:r>
        <w:t xml:space="preserve">How can a sustainable professional learning community model be institutionalized within Guangzhou's educational bureaucracy?</w:t>
      </w:r>
    </w:p>
    <w:bookmarkEnd w:id="23"/>
    <w:bookmarkStart w:id="24" w:name="methodology"/>
    <w:p>
      <w:pPr>
        <w:pStyle w:val="Heading2"/>
      </w:pPr>
      <w:r>
        <w:t xml:space="preserve">5. Methodology</w:t>
      </w:r>
    </w:p>
    <w:p>
      <w:pPr>
        <w:pStyle w:val="FirstParagraph"/>
      </w:pPr>
      <w:r>
        <w:t xml:space="preserve">This mixed-methods action research will operate in three phases across 15 Guangzhou primary schools (7 urban, 8 suburban/rural), involving 300+</w:t>
      </w:r>
      <w:r>
        <w:t xml:space="preserve"> </w:t>
      </w:r>
      <w:r>
        <w:rPr>
          <w:bCs/>
          <w:b/>
        </w:rPr>
        <w:t xml:space="preserve">Teacher Primary</w:t>
      </w:r>
      <w:r>
        <w:t xml:space="preserve">.</w:t>
      </w:r>
    </w:p>
    <w:p>
      <w:pPr>
        <w:pStyle w:val="BodyText"/>
      </w:pPr>
      <w:r>
        <w:rPr>
          <w:iCs/>
          <w:i/>
        </w:rPr>
        <w:t xml:space="preserve">Phase 1: Contextual Assessment (Months 1-4)</w:t>
      </w:r>
    </w:p>
    <w:p>
      <w:pPr>
        <w:numPr>
          <w:ilvl w:val="0"/>
          <w:numId w:val="1002"/>
        </w:numPr>
        <w:pStyle w:val="Compact"/>
      </w:pPr>
      <w:r>
        <w:t xml:space="preserve">Surveys and focus groups with teachers to map current training gaps</w:t>
      </w:r>
    </w:p>
    <w:p>
      <w:pPr>
        <w:numPr>
          <w:ilvl w:val="0"/>
          <w:numId w:val="1002"/>
        </w:numPr>
        <w:pStyle w:val="Compact"/>
      </w:pPr>
      <w:r>
        <w:t xml:space="preserve">Classroom observations using the "Guangzhou Teacher Practice Rubric" (developed in consultation with Guangzhou Education Bureau)</w:t>
      </w:r>
    </w:p>
    <w:p>
      <w:pPr>
        <w:pStyle w:val="FirstParagraph"/>
      </w:pPr>
      <w:r>
        <w:rPr>
          <w:iCs/>
          <w:i/>
        </w:rPr>
        <w:t xml:space="preserve">Phase 2: Intervention Implementation (Months 5-10)</w:t>
      </w:r>
    </w:p>
    <w:p>
      <w:pPr>
        <w:pStyle w:val="BodyText"/>
      </w:pPr>
      <w:r>
        <w:t xml:space="preserve">Co-design of a 6-month coaching program featuring:</w:t>
      </w:r>
    </w:p>
    <w:p>
      <w:pPr>
        <w:numPr>
          <w:ilvl w:val="0"/>
          <w:numId w:val="1003"/>
        </w:numPr>
        <w:pStyle w:val="Compact"/>
      </w:pPr>
      <w:r>
        <w:t xml:space="preserve">Digital pedagogy workshops using Guangzhou-specific apps (e.g., "EduGuangdong")</w:t>
      </w:r>
    </w:p>
    <w:p>
      <w:pPr>
        <w:numPr>
          <w:ilvl w:val="0"/>
          <w:numId w:val="1003"/>
        </w:numPr>
        <w:pStyle w:val="Compact"/>
      </w:pPr>
      <w:r>
        <w:t xml:space="preserve">Cultural responsiveness modules addressing Guangzhou's multicultural student population (including ethnic minority communities)</w:t>
      </w:r>
    </w:p>
    <w:p>
      <w:pPr>
        <w:numPr>
          <w:ilvl w:val="0"/>
          <w:numId w:val="1003"/>
        </w:numPr>
        <w:pStyle w:val="Compact"/>
      </w:pPr>
      <w:r>
        <w:t xml:space="preserve">Peer coaching circles with designated school-level "Teacher Primary" mentors</w:t>
      </w:r>
    </w:p>
    <w:p>
      <w:pPr>
        <w:pStyle w:val="FirstParagraph"/>
      </w:pPr>
      <w:r>
        <w:rPr>
          <w:iCs/>
          <w:i/>
        </w:rPr>
        <w:t xml:space="preserve">Phase 3: Evaluation &amp; Scaling (Months 11-18)</w:t>
      </w:r>
    </w:p>
    <w:p>
      <w:pPr>
        <w:numPr>
          <w:ilvl w:val="0"/>
          <w:numId w:val="1004"/>
        </w:numPr>
        <w:pStyle w:val="Compact"/>
      </w:pPr>
      <w:r>
        <w:t xml:space="preserve">Pre/post assessments of teacher competencies using validated instruments</w:t>
      </w:r>
    </w:p>
    <w:p>
      <w:pPr>
        <w:numPr>
          <w:ilvl w:val="0"/>
          <w:numId w:val="1004"/>
        </w:numPr>
        <w:pStyle w:val="Compact"/>
      </w:pPr>
      <w:r>
        <w:t xml:space="preserve">Student outcome analysis (critical thinking, digital literacy scores)</w:t>
      </w:r>
    </w:p>
    <w:p>
      <w:pPr>
        <w:numPr>
          <w:ilvl w:val="0"/>
          <w:numId w:val="1004"/>
        </w:numPr>
        <w:pStyle w:val="Compact"/>
      </w:pPr>
      <w:r>
        <w:t xml:space="preserve">Cost-benefit analysis for Guangzhou Education Bureau's policy adoption</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scalable "Guangzhou Primary Teacher Development Framework" tailored to local constraints</w:t>
      </w:r>
    </w:p>
    <w:p>
      <w:pPr>
        <w:numPr>
          <w:ilvl w:val="0"/>
          <w:numId w:val="1005"/>
        </w:numPr>
        <w:pStyle w:val="Compact"/>
      </w:pPr>
      <w:r>
        <w:t xml:space="preserve">Quantifiable evidence linking teacher training to improved student engagement (target: 25% increase in self-reported student agency)</w:t>
      </w:r>
    </w:p>
    <w:p>
      <w:pPr>
        <w:numPr>
          <w:ilvl w:val="0"/>
          <w:numId w:val="1005"/>
        </w:numPr>
        <w:pStyle w:val="Compact"/>
      </w:pPr>
      <w:r>
        <w:t xml:space="preserve">Policies for Guangzhou's education authority on sustainable implementation, including a phased budget model</w:t>
      </w:r>
    </w:p>
    <w:p>
      <w:pPr>
        <w:pStyle w:val="FirstParagraph"/>
      </w:pPr>
      <w:r>
        <w:t xml:space="preserve">The significance extends beyond academia. By centering the needs of</w:t>
      </w:r>
      <w:r>
        <w:t xml:space="preserve"> </w:t>
      </w:r>
      <w:r>
        <w:rPr>
          <w:bCs/>
          <w:b/>
        </w:rPr>
        <w:t xml:space="preserve">Teacher Primary</w:t>
      </w:r>
      <w:r>
        <w:t xml:space="preserve"> </w:t>
      </w:r>
      <w:r>
        <w:t xml:space="preserve">in one of China's most influential cities, this project directly supports national goals: enhancing educational equity (as emphasized in China's Education Modernization 2035 plan) and fostering human capital for Guangzhou's economic growth as a Global South hub. Crucially, the model will address the city-specific challenge of balancing standardized testing demands with innovative pedagogy—proving that high-stakes environments can nurture creativity.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Duration (Months)</w:t>
      </w:r>
    </w:p>
    <w:p>
      <w:pPr>
        <w:pStyle w:val="BodyText"/>
      </w:pPr>
      <w:r>
        <w:t xml:space="preserve">Preparation</w:t>
      </w:r>
    </w:p>
    <w:p>
      <w:pPr>
        <w:pStyle w:val="BodyText"/>
      </w:pPr>
      <w:r>
        <w:t xml:space="preserve">Licensing, school partnerships, rubric finalization</w:t>
      </w:r>
    </w:p>
    <w:p>
      <w:pPr>
        <w:pStyle w:val="BodyText"/>
      </w:pPr>
      <w:r>
        <w:t xml:space="preserve">1-2</w:t>
      </w:r>
    </w:p>
    <w:p>
      <w:pPr>
        <w:pStyle w:val="BodyText"/>
      </w:pPr>
      <w:r>
        <w:t xml:space="preserve">Data Collection</w:t>
      </w:r>
    </w:p>
    <w:p>
      <w:pPr>
        <w:pStyle w:val="BodyText"/>
      </w:pPr>
      <w:r>
        <w:t xml:space="preserve">Surveys, observations, baseline assessments</w:t>
      </w:r>
    </w:p>
    <w:p>
      <w:pPr>
        <w:pStyle w:val="BodyText"/>
      </w:pPr>
      <w:r>
        <w:t xml:space="preserve">3-4</w:t>
      </w:r>
    </w:p>
    <w:p>
      <w:pPr>
        <w:pStyle w:val="BodyText"/>
      </w:pPr>
      <w:r>
        <w:t xml:space="preserve">Intervention &amp; Implementation (Core Phase)</w:t>
      </w:r>
    </w:p>
    <w:p>
      <w:pPr>
        <w:pStyle w:val="BodyText"/>
      </w:pPr>
      <w:r>
        <w:t xml:space="preserve">Module 1: Digital Literacy</w:t>
      </w:r>
    </w:p>
    <w:p>
      <w:pPr>
        <w:pStyle w:val="BodyText"/>
      </w:pPr>
      <w:r>
        <w:t xml:space="preserve">Cohort training + classroom application</w:t>
      </w:r>
    </w:p>
    <w:p>
      <w:pPr>
        <w:pStyle w:val="BodyText"/>
      </w:pPr>
      <w:r>
        <w:t xml:space="preserve">5-7</w:t>
      </w:r>
    </w:p>
    <w:p>
      <w:pPr>
        <w:pStyle w:val="BodyText"/>
      </w:pPr>
      <w:r>
        <w:t xml:space="preserve">Module 2: Socio-Emotional Integration</w:t>
      </w:r>
    </w:p>
    <w:p>
      <w:pPr>
        <w:pStyle w:val="BodyText"/>
      </w:pPr>
      <w:r>
        <w:t xml:space="preserve">Mentorship circles + case studies</w:t>
      </w:r>
    </w:p>
    <w:p>
      <w:pPr>
        <w:pStyle w:val="BodyText"/>
      </w:pPr>
      <w:r>
        <w:t xml:space="preserve">8-9</w:t>
      </w:r>
    </w:p>
    <w:p>
      <w:pPr>
        <w:pStyle w:val="BodyText"/>
      </w:pPr>
      <w:r>
        <w:t xml:space="preserve">Evaluation &amp; Dissemination (Final Phase)</w:t>
      </w:r>
    </w:p>
    <w:p>
      <w:pPr>
        <w:pStyle w:val="BodyText"/>
      </w:pPr>
      <w:r>
        <w:t xml:space="preserve">Evaluation</w:t>
      </w:r>
    </w:p>
    <w:p>
      <w:pPr>
        <w:pStyle w:val="BodyText"/>
      </w:pPr>
      <w:r>
        <w:t xml:space="preserve">Student data analysis, teacher feedback synthesis</w:t>
      </w:r>
    </w:p>
    <w:p>
      <w:pPr>
        <w:pStyle w:val="BodyText"/>
      </w:pPr>
      <w:r>
        <w:t xml:space="preserve">10-12</w:t>
      </w:r>
    </w:p>
    <w:p>
      <w:pPr>
        <w:pStyle w:val="BodyText"/>
      </w:pPr>
      <w:r>
        <w:t xml:space="preserve">Policymaking Support</w:t>
      </w:r>
    </w:p>
    <w:p>
      <w:pPr>
        <w:pStyle w:val="BodyText"/>
      </w:pPr>
      <w:r>
        <w:t xml:space="preserve">&lt;</w:t>
      </w:r>
    </w:p>
    <w:p>
      <w:pPr>
        <w:pStyle w:val="BodyText"/>
      </w:pPr>
      <w:r>
        <w:t xml:space="preserve">Guangzhou Education Bureau workshop + framework toolkit</w:t>
      </w:r>
    </w:p>
    <w:p>
      <w:pPr>
        <w:pStyle w:val="BodyText"/>
      </w:pPr>
      <w:r>
        <w:t xml:space="preserve">13-18</w:t>
      </w:r>
    </w:p>
    <w:bookmarkEnd w:id="26"/>
    <w:bookmarkStart w:id="27" w:name="X1de2d62c22217d2a77aab9f7124b2819706946d"/>
    <w:p>
      <w:pPr>
        <w:pStyle w:val="Heading2"/>
      </w:pPr>
      <w:r>
        <w:t xml:space="preserve">8. Conclusion: A Catalyst for Guangzhou's Educational Future</w:t>
      </w:r>
    </w:p>
    <w:p>
      <w:pPr>
        <w:pStyle w:val="FirstParagraph"/>
      </w:pPr>
      <w:r>
        <w:t xml:space="preserve">This Research Proposal establishes a rigorous pathway to empower the unsung heroes of China Guangzhou's educational ecosystem—</w:t>
      </w:r>
      <w:r>
        <w:rPr>
          <w:bCs/>
          <w:b/>
        </w:rPr>
        <w:t xml:space="preserve">Teacher Primary</w:t>
      </w:r>
      <w:r>
        <w:t xml:space="preserve">. By anchoring innovation in local context rather than importing generic models, we address the core challenge facing urban education worldwide: how to foster transformative teaching within systemic constraints. The project's success will position</w:t>
      </w:r>
      <w:r>
        <w:t xml:space="preserve"> </w:t>
      </w:r>
      <w:r>
        <w:rPr>
          <w:bCs/>
          <w:b/>
        </w:rPr>
        <w:t xml:space="preserve">China Guangzhou</w:t>
      </w:r>
      <w:r>
        <w:t xml:space="preserve"> </w:t>
      </w:r>
      <w:r>
        <w:t xml:space="preserve">as a national exemplar for teacher development, with ripple effects across southern China's 120+ cities. Most importantly, it affirms that investing in primary educators is not merely about improving classrooms—it is about building a more equitable, innovative future for Guangzhou's children and the nation they will lead. We seek partnership with Guangzhou Education Bureau to transform this proposal into actionable policy, proving that when</w:t>
      </w:r>
      <w:r>
        <w:t xml:space="preserve"> </w:t>
      </w:r>
      <w:r>
        <w:rPr>
          <w:bCs/>
          <w:b/>
        </w:rPr>
        <w:t xml:space="preserve">Teacher Primary</w:t>
      </w:r>
      <w:r>
        <w:t xml:space="preserve"> </w:t>
      </w:r>
      <w:r>
        <w:t xml:space="preserve">thrive, all of China Guangzhou thrives.</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Professional Development in China Guangzhou</dc:title>
  <dc:creator/>
  <dc:language>en</dc:language>
  <cp:keywords/>
  <dcterms:created xsi:type="dcterms:W3CDTF">2026-07-21T02:58:44Z</dcterms:created>
  <dcterms:modified xsi:type="dcterms:W3CDTF">2026-07-21T02:58:44Z</dcterms:modified>
</cp:coreProperties>
</file>

<file path=docProps/custom.xml><?xml version="1.0" encoding="utf-8"?>
<Properties xmlns="http://schemas.openxmlformats.org/officeDocument/2006/custom-properties" xmlns:vt="http://schemas.openxmlformats.org/officeDocument/2006/docPropsVTypes"/>
</file>