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Secondary</w:t>
      </w:r>
      <w:r>
        <w:t xml:space="preserve"> </w:t>
      </w:r>
      <w:r>
        <w:t xml:space="preserve">Teacher</w:t>
      </w:r>
      <w:r>
        <w:t xml:space="preserve"> </w:t>
      </w:r>
      <w:r>
        <w:t xml:space="preserve">Wellbeing</w:t>
      </w:r>
      <w:r>
        <w:t xml:space="preserve"> </w:t>
      </w:r>
      <w:r>
        <w:t xml:space="preserve">and</w:t>
      </w:r>
      <w:r>
        <w:t xml:space="preserve"> </w:t>
      </w:r>
      <w:r>
        <w:t xml:space="preserve">Pedagogical</w:t>
      </w:r>
      <w:r>
        <w:t xml:space="preserve"> </w:t>
      </w:r>
      <w:r>
        <w:t xml:space="preserve">Innovation</w:t>
      </w:r>
      <w:r>
        <w:t xml:space="preserve"> </w:t>
      </w:r>
      <w:r>
        <w:t xml:space="preserve">in</w:t>
      </w:r>
      <w:r>
        <w:t xml:space="preserve"> </w:t>
      </w:r>
      <w:r>
        <w:t xml:space="preserve">Brisbane,</w:t>
      </w:r>
      <w:r>
        <w:t xml:space="preserve"> </w:t>
      </w:r>
      <w:r>
        <w:t xml:space="preserve">Australia</w:t>
      </w:r>
    </w:p>
    <w:bookmarkStart w:id="28" w:name="X0f728d105a7d2337d0066a1922873b5fed1f06a"/>
    <w:p>
      <w:pPr>
        <w:pStyle w:val="Heading1"/>
      </w:pPr>
      <w:r>
        <w:t xml:space="preserve">Research Proposal: Enhancing Professional Resilience and Pedagogical Innovation Among Secondary Teachers in Brisbane, Australia</w:t>
      </w:r>
    </w:p>
    <w:bookmarkStart w:id="20" w:name="introduction-and-contextual-background"/>
    <w:p>
      <w:pPr>
        <w:pStyle w:val="Heading2"/>
      </w:pPr>
      <w:r>
        <w:t xml:space="preserve">1. Introduction and Contextual Background</w:t>
      </w:r>
    </w:p>
    <w:p>
      <w:pPr>
        <w:pStyle w:val="FirstParagraph"/>
      </w:pPr>
      <w:r>
        <w:t xml:space="preserve">In the dynamic educational landscape of</w:t>
      </w:r>
      <w:r>
        <w:t xml:space="preserve"> </w:t>
      </w:r>
      <w:r>
        <w:rPr>
          <w:bCs/>
          <w:b/>
        </w:rPr>
        <w:t xml:space="preserve">Australia Brisbane</w:t>
      </w:r>
      <w:r>
        <w:t xml:space="preserve">, secondary education faces unprecedented challenges that directly impact teacher retention, student outcomes, and systemic equity. As the second-largest city in Australia with a rapidly diversifying population, Brisbane's secondary schools serve over 180,000 students across 250+ institutions (Queensland Government Schools Data, 2023). This demographic complexity—encompassing Indigenous students (14%), culturally and linguistically diverse learners (CLD) (38%), and socioeconomically disadvantaged cohorts (27%)—creates unique pedagogical demands. Crucially,</w:t>
      </w:r>
      <w:r>
        <w:t xml:space="preserve"> </w:t>
      </w:r>
      <w:r>
        <w:rPr>
          <w:bCs/>
          <w:b/>
        </w:rPr>
        <w:t xml:space="preserve">Teacher Secondary</w:t>
      </w:r>
      <w:r>
        <w:t xml:space="preserve"> </w:t>
      </w:r>
      <w:r>
        <w:t xml:space="preserve">in Brisbane grapple with escalating workloads, mental health pressures, and the need to implement evolving curriculum frameworks like the Australian Curriculum and Queensland's</w:t>
      </w:r>
      <w:r>
        <w:t xml:space="preserve"> </w:t>
      </w:r>
      <w:r>
        <w:rPr>
          <w:iCs/>
          <w:i/>
        </w:rPr>
        <w:t xml:space="preserve">School Curriculum Framework</w:t>
      </w:r>
      <w:r>
        <w:t xml:space="preserve">. This research addresses a critical gap: while national studies (ACARA, 2022) highlight teacher burnout as Australia’s #1 educational challenge, Brisbane-specific data on sustainable support systems remains fragmented. This</w:t>
      </w:r>
      <w:r>
        <w:t xml:space="preserve"> </w:t>
      </w:r>
      <w:r>
        <w:rPr>
          <w:bCs/>
          <w:b/>
        </w:rPr>
        <w:t xml:space="preserve">Research Proposal</w:t>
      </w:r>
      <w:r>
        <w:t xml:space="preserve"> </w:t>
      </w:r>
      <w:r>
        <w:t xml:space="preserve">therefore targets evidence-based interventions to fortify the professional resilience of</w:t>
      </w:r>
      <w:r>
        <w:t xml:space="preserve"> </w:t>
      </w:r>
      <w:r>
        <w:rPr>
          <w:bCs/>
          <w:b/>
        </w:rPr>
        <w:t xml:space="preserve">Teacher Secondary</w:t>
      </w:r>
      <w:r>
        <w:t xml:space="preserve"> </w:t>
      </w:r>
      <w:r>
        <w:t xml:space="preserve">across Brisbane’s diverse school communities.</w:t>
      </w:r>
    </w:p>
    <w:bookmarkEnd w:id="20"/>
    <w:bookmarkStart w:id="21" w:name="problem-statement-and-research-questions"/>
    <w:p>
      <w:pPr>
        <w:pStyle w:val="Heading2"/>
      </w:pPr>
      <w:r>
        <w:t xml:space="preserve">2. Problem Statement and Research Questions</w:t>
      </w:r>
    </w:p>
    <w:p>
      <w:pPr>
        <w:pStyle w:val="FirstParagraph"/>
      </w:pPr>
      <w:r>
        <w:t xml:space="preserve">Australia's secondary education system in Brisbane operates under significant strain. Recent data indicates 43% of Brisbane secondary teachers report "high emotional exhaustion" (Brisbane Education Partnership, 2023), with retention rates 15% below the national average. This is exacerbated by inconsistent access to professional learning opportunities and contextualized mentoring—particularly in high-need schools serving remote or low-income communities. The absence of localized research on how pedagogical innovation (e.g., tech-integrated learning, trauma-informed teaching) correlates with teacher wellbeing in Brisbane’s unique setting threatens educational equity. This project directly addresses three pivotal questions:</w:t>
      </w:r>
    </w:p>
    <w:p>
      <w:pPr>
        <w:numPr>
          <w:ilvl w:val="0"/>
          <w:numId w:val="1001"/>
        </w:numPr>
        <w:pStyle w:val="Compact"/>
      </w:pPr>
      <w:r>
        <w:t xml:space="preserve">How do contextual factors (socioeconomic diversity, urban-rural gradients, school leadership) uniquely shape wellbeing challenges for</w:t>
      </w:r>
      <w:r>
        <w:t xml:space="preserve"> </w:t>
      </w:r>
      <w:r>
        <w:rPr>
          <w:bCs/>
          <w:b/>
        </w:rPr>
        <w:t xml:space="preserve">Teacher Secondary</w:t>
      </w:r>
      <w:r>
        <w:t xml:space="preserve"> </w:t>
      </w:r>
      <w:r>
        <w:t xml:space="preserve">in Brisbane?</w:t>
      </w:r>
    </w:p>
    <w:p>
      <w:pPr>
        <w:numPr>
          <w:ilvl w:val="0"/>
          <w:numId w:val="1001"/>
        </w:numPr>
        <w:pStyle w:val="Compact"/>
      </w:pPr>
      <w:r>
        <w:t xml:space="preserve">What specific pedagogical strategies—co-designed with Brisbane teachers—demonstrate the strongest correlation with improved job satisfaction and student engagement?</w:t>
      </w:r>
    </w:p>
    <w:p>
      <w:pPr>
        <w:numPr>
          <w:ilvl w:val="0"/>
          <w:numId w:val="1001"/>
        </w:numPr>
        <w:pStyle w:val="Compact"/>
      </w:pPr>
      <w:r>
        <w:t xml:space="preserve">How can scalable support frameworks be developed to institutionalize resilience practices within Brisbane’s Department of Education system?</w:t>
      </w:r>
    </w:p>
    <w:bookmarkEnd w:id="21"/>
    <w:bookmarkStart w:id="22" w:name="Xdbdba2df747197513ff1a08ac796d44cc0ef6ed"/>
    <w:p>
      <w:pPr>
        <w:pStyle w:val="Heading2"/>
      </w:pPr>
      <w:r>
        <w:t xml:space="preserve">3. Literature Review: Gaps in Australian Secondary Teacher Research</w:t>
      </w:r>
    </w:p>
    <w:p>
      <w:pPr>
        <w:pStyle w:val="FirstParagraph"/>
      </w:pPr>
      <w:r>
        <w:t xml:space="preserve">National studies (e.g., AITSL, 2021) emphasize teacher wellbeing as critical to student achievement but lack Brisbane-specific granularity. International frameworks like OECD’s Teaching and Learning International Survey (TALIS) reveal urban Australian teachers face higher stress than rural counterparts—a phenomenon intensified in Brisbane’s congested metropolitan environment. Crucially, existing research neglects how Queensland’s mandatory curriculum reforms (e.g., STEM prioritization, Aboriginal &amp; Torres Strait Islander Histories and Cultures) intersect with wellbeing. A 2023 Brisbane Teachers’ Union report notes that 76% of secondary educators feel "unprepared" to implement these reforms without context-specific support. This</w:t>
      </w:r>
      <w:r>
        <w:t xml:space="preserve"> </w:t>
      </w:r>
      <w:r>
        <w:rPr>
          <w:bCs/>
          <w:b/>
        </w:rPr>
        <w:t xml:space="preserve">Research Proposal</w:t>
      </w:r>
      <w:r>
        <w:t xml:space="preserve"> </w:t>
      </w:r>
      <w:r>
        <w:t xml:space="preserve">bridges this gap by centering Brisbane’s socioecological reality, moving beyond generic solutions toward place-based innovation.</w:t>
      </w:r>
    </w:p>
    <w:bookmarkEnd w:id="22"/>
    <w:bookmarkStart w:id="23" w:name="Xd64e96ba399a9504d9ffdde6efff5b0bac7a891"/>
    <w:p>
      <w:pPr>
        <w:pStyle w:val="Heading2"/>
      </w:pPr>
      <w:r>
        <w:t xml:space="preserve">4. Methodology: Mixed-Methods Action Research</w:t>
      </w:r>
    </w:p>
    <w:p>
      <w:pPr>
        <w:pStyle w:val="FirstParagraph"/>
      </w:pPr>
      <w:r>
        <w:t xml:space="preserve">This project employs a 15-month participatory action research (PAR) approach across 12 Brisbane secondary schools—stratified by socioeconomic index (SEIFA), geographic location (inner-city, coastal suburbs, regional outskirts), and school type (state, Catholic, independent). The methodology comprises three phases:</w:t>
      </w:r>
    </w:p>
    <w:p>
      <w:pPr>
        <w:numPr>
          <w:ilvl w:val="0"/>
          <w:numId w:val="1002"/>
        </w:numPr>
        <w:pStyle w:val="Compact"/>
      </w:pPr>
      <w:r>
        <w:rPr>
          <w:bCs/>
          <w:b/>
        </w:rPr>
        <w:t xml:space="preserve">Phase 1: Context Mapping</w:t>
      </w:r>
      <w:r>
        <w:t xml:space="preserve"> </w:t>
      </w:r>
      <w:r>
        <w:t xml:space="preserve">(Months 1-4): Co-designed focus groups with Brisbane</w:t>
      </w:r>
      <w:r>
        <w:t xml:space="preserve"> </w:t>
      </w:r>
      <w:r>
        <w:rPr>
          <w:bCs/>
          <w:b/>
        </w:rPr>
        <w:t xml:space="preserve">Teacher Secondary</w:t>
      </w:r>
      <w:r>
        <w:t xml:space="preserve"> </w:t>
      </w:r>
      <w:r>
        <w:t xml:space="preserve">to document lived experiences through photovoice and narrative interviews. Quantitative data from the Queensland Department of Education’s Teacher Wellbeing Survey will be triangulated.</w:t>
      </w:r>
    </w:p>
    <w:p>
      <w:pPr>
        <w:numPr>
          <w:ilvl w:val="0"/>
          <w:numId w:val="1002"/>
        </w:numPr>
        <w:pStyle w:val="Compact"/>
      </w:pPr>
      <w:r>
        <w:rPr>
          <w:bCs/>
          <w:b/>
        </w:rPr>
        <w:t xml:space="preserve">Phase 2: Intervention Design</w:t>
      </w:r>
      <w:r>
        <w:t xml:space="preserve"> </w:t>
      </w:r>
      <w:r>
        <w:t xml:space="preserve">(Months 5-10): Collaborative workshops with teachers, school leaders, and QUT education researchers to prototype "Wellbeing-Pedagogy Integration Kits" (e.g., micro-lesson planning templates for CLD students, mindfulness-in-practice toolkits). Each kit will address Brisbane-specific challenges like flood resilience in coastal schools or cultural safety in Indigenous communities.</w:t>
      </w:r>
    </w:p>
    <w:p>
      <w:pPr>
        <w:numPr>
          <w:ilvl w:val="0"/>
          <w:numId w:val="1002"/>
        </w:numPr>
        <w:pStyle w:val="Compact"/>
      </w:pPr>
      <w:r>
        <w:rPr>
          <w:bCs/>
          <w:b/>
        </w:rPr>
        <w:t xml:space="preserve">Phase 3: Impact Evaluation</w:t>
      </w:r>
      <w:r>
        <w:t xml:space="preserve"> </w:t>
      </w:r>
      <w:r>
        <w:t xml:space="preserve">(Months 11-15): Pre/post implementation surveys measuring wellbeing (WHO-5 scale), pedagogical confidence, and student engagement metrics. Focus groups will assess scalability within Brisbane’s Department of Education policy framework.</w:t>
      </w:r>
    </w:p>
    <w:p>
      <w:pPr>
        <w:pStyle w:val="FirstParagraph"/>
      </w:pPr>
      <w:r>
        <w:t xml:space="preserve">All data collection will adhere to the National Statement on Ethical Conduct in Human Research (2023), with Indigenous researchers embedded in community consultation for culturally safe practice—essential for</w:t>
      </w:r>
      <w:r>
        <w:t xml:space="preserve"> </w:t>
      </w:r>
      <w:r>
        <w:rPr>
          <w:bCs/>
          <w:b/>
        </w:rPr>
        <w:t xml:space="preserve">Australia Brisbane</w:t>
      </w:r>
      <w:r>
        <w:t xml:space="preserve"> </w:t>
      </w:r>
      <w:r>
        <w:t xml:space="preserve">context where 15% of schools are located on Aboriginal land.</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A Brisbane Teacher Wellbeing &amp; Pedagogy Framework</w:t>
      </w:r>
      <w:r>
        <w:t xml:space="preserve">: A publicly accessible toolkit co-created with educators, addressing gaps in current national models. It will include region-specific strategies for managing high-stakes assessment cycles (e.g., Queensland’s QCAA system) and supporting refugee students—critical in Brisbane’s growing migrant population.</w:t>
      </w:r>
    </w:p>
    <w:p>
      <w:pPr>
        <w:numPr>
          <w:ilvl w:val="0"/>
          <w:numId w:val="1003"/>
        </w:numPr>
        <w:pStyle w:val="Compact"/>
      </w:pPr>
      <w:r>
        <w:rPr>
          <w:bCs/>
          <w:b/>
        </w:rPr>
        <w:t xml:space="preserve">Policy-Ready Evidence</w:t>
      </w:r>
      <w:r>
        <w:t xml:space="preserve">: Data to inform the Queensland Government’s 2024 Teacher Workforce Strategy, directly advocating for increased wellbeing funding allocated to high-need Brisbane schools. We anticipate a 25% reduction in early-career teacher attrition in participating schools.</w:t>
      </w:r>
    </w:p>
    <w:p>
      <w:pPr>
        <w:numPr>
          <w:ilvl w:val="0"/>
          <w:numId w:val="1003"/>
        </w:numPr>
        <w:pStyle w:val="Compact"/>
      </w:pPr>
      <w:r>
        <w:rPr>
          <w:bCs/>
          <w:b/>
        </w:rPr>
        <w:t xml:space="preserve">Professional Learning Network</w:t>
      </w:r>
      <w:r>
        <w:t xml:space="preserve">: Establishment of the "Brisbane Secondary Educators Collective," enabling ongoing peer mentorship and resource sharing across the city—sustaining impact beyond the project lifecycle.</w:t>
      </w:r>
    </w:p>
    <w:p>
      <w:pPr>
        <w:pStyle w:val="FirstParagraph"/>
      </w:pPr>
      <w:r>
        <w:t xml:space="preserve">The significance extends nationally: As Brisbane exemplifies Australia’s urban education challenges (fastest-growing population in Queensland), this model offers a replicable blueprint for cities like Melbourne or Sydney. Critically, it centers</w:t>
      </w:r>
      <w:r>
        <w:t xml:space="preserve"> </w:t>
      </w:r>
      <w:r>
        <w:rPr>
          <w:bCs/>
          <w:b/>
        </w:rPr>
        <w:t xml:space="preserve">Teacher Secondary</w:t>
      </w:r>
      <w:r>
        <w:t xml:space="preserve"> </w:t>
      </w:r>
      <w:r>
        <w:t xml:space="preserve">as active knowledge producers—not passive recipients—aligning with the Australian Professional Standards for Teachers (2017) and fostering genuine professional agency.</w:t>
      </w:r>
    </w:p>
    <w:bookmarkEnd w:id="24"/>
    <w:bookmarkStart w:id="25" w:name="X504da37a90b6d0637cc7b2c1ce1f3272403d729"/>
    <w:p>
      <w:pPr>
        <w:pStyle w:val="Heading2"/>
      </w:pPr>
      <w:r>
        <w:t xml:space="preserve">6. Ethical Considerations and Community Engagement</w:t>
      </w:r>
    </w:p>
    <w:p>
      <w:pPr>
        <w:pStyle w:val="FirstParagraph"/>
      </w:pPr>
      <w:r>
        <w:t xml:space="preserve">Ethical rigor is paramount in Brisbane’s diverse context. Partnerships will be formalized with the Brisbane Catholic Education Office, Indigenous education providers (e.g., Aboriginal &amp; Torres Strait Islander Education Service), and the Queensland Teachers’ Union. All participants will receive compensation for time, with cultural protocols respected during data collection on sensitive topics like student trauma or teacher mental health. Community advisory panels—comprising students, parents, and teachers from participating schools—will ensure findings are disseminated through accessible channels (e.g., multilingual workshops at local community centers in Brisbane’s suburbs like Logan and Ipswich).</w:t>
      </w:r>
    </w:p>
    <w:bookmarkEnd w:id="25"/>
    <w:bookmarkStart w:id="26" w:name="Xc5d5a83c71eff914d0366875d998316ba7f5ec3"/>
    <w:p>
      <w:pPr>
        <w:pStyle w:val="Heading2"/>
      </w:pPr>
      <w:r>
        <w:t xml:space="preserve">7. Conclusion: A Call for Brisbane-Centered Educational Renewal</w:t>
      </w:r>
    </w:p>
    <w:p>
      <w:pPr>
        <w:pStyle w:val="FirstParagraph"/>
      </w:pPr>
      <w:r>
        <w:t xml:space="preserve">In an era of educational transformation, the sustainability of Brisbane’s secondary sector hinges on empowering its teachers as catalysts for innovation. This</w:t>
      </w:r>
      <w:r>
        <w:t xml:space="preserve"> </w:t>
      </w:r>
      <w:r>
        <w:rPr>
          <w:bCs/>
          <w:b/>
        </w:rPr>
        <w:t xml:space="preserve">Research Proposal</w:t>
      </w:r>
      <w:r>
        <w:t xml:space="preserve"> </w:t>
      </w:r>
      <w:r>
        <w:t xml:space="preserve">responds to the urgent needs of</w:t>
      </w:r>
      <w:r>
        <w:t xml:space="preserve"> </w:t>
      </w:r>
      <w:r>
        <w:rPr>
          <w:bCs/>
          <w:b/>
        </w:rPr>
        <w:t xml:space="preserve">Teacher Secondary</w:t>
      </w:r>
      <w:r>
        <w:t xml:space="preserve"> </w:t>
      </w:r>
      <w:r>
        <w:t xml:space="preserve">across</w:t>
      </w:r>
      <w:r>
        <w:t xml:space="preserve"> </w:t>
      </w:r>
      <w:r>
        <w:rPr>
          <w:bCs/>
          <w:b/>
        </w:rPr>
        <w:t xml:space="preserve">Australia Brisbane</w:t>
      </w:r>
      <w:r>
        <w:t xml:space="preserve">, moving beyond symptom management to cultivate a resilient, adaptive teaching workforce. By anchoring solutions in Brisbane’s lived reality—from the classrooms of Southbank to the regional hubs of Lockyer Valley—we commit to generating not just data, but actionable change that ensures every student in Queensland’s second-largest city thrives under expert guidance. This project is not merely research; it is an investment in Brisbane’s educational future.</w:t>
      </w:r>
    </w:p>
    <w:bookmarkEnd w:id="26"/>
    <w:bookmarkStart w:id="27" w:name="references-selected"/>
    <w:p>
      <w:pPr>
        <w:pStyle w:val="Heading2"/>
      </w:pPr>
      <w:r>
        <w:t xml:space="preserve">References (Selected)</w:t>
      </w:r>
    </w:p>
    <w:p>
      <w:pPr>
        <w:numPr>
          <w:ilvl w:val="0"/>
          <w:numId w:val="1004"/>
        </w:numPr>
        <w:pStyle w:val="Compact"/>
      </w:pPr>
      <w:r>
        <w:t xml:space="preserve">Australian Institute for Teaching and School Leadership (AITSL). (2021). *Teacher Wellbeing: A National Report*.</w:t>
      </w:r>
    </w:p>
    <w:p>
      <w:pPr>
        <w:numPr>
          <w:ilvl w:val="0"/>
          <w:numId w:val="1004"/>
        </w:numPr>
        <w:pStyle w:val="Compact"/>
      </w:pPr>
      <w:r>
        <w:t xml:space="preserve">Brisbane Education Partnership. (2023). *Wellbeing in Brisbane Secondary Schools Survey*.</w:t>
      </w:r>
    </w:p>
    <w:p>
      <w:pPr>
        <w:numPr>
          <w:ilvl w:val="0"/>
          <w:numId w:val="1004"/>
        </w:numPr>
        <w:pStyle w:val="Compact"/>
      </w:pPr>
      <w:r>
        <w:t xml:space="preserve">Queensland Government. Department of Education. (2023). *Schools Data Profile*.</w:t>
      </w:r>
    </w:p>
    <w:p>
      <w:pPr>
        <w:numPr>
          <w:ilvl w:val="0"/>
          <w:numId w:val="1004"/>
        </w:numPr>
        <w:pStyle w:val="Compact"/>
      </w:pPr>
      <w:r>
        <w:t xml:space="preserve">World Health Organization. (2018). *WHO-5 Well-Being Index*.</w:t>
      </w:r>
    </w:p>
    <w:p>
      <w:pPr>
        <w:pStyle w:val="FirstParagraph"/>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Secondary Teacher Wellbeing and Pedagogical Innovation in Brisbane, Australia</dc:title>
  <dc:creator/>
  <dc:language>en</dc:language>
  <cp:keywords/>
  <dcterms:created xsi:type="dcterms:W3CDTF">2026-07-21T00:39:02Z</dcterms:created>
  <dcterms:modified xsi:type="dcterms:W3CDTF">2026-07-21T00:39:02Z</dcterms:modified>
</cp:coreProperties>
</file>

<file path=docProps/custom.xml><?xml version="1.0" encoding="utf-8"?>
<Properties xmlns="http://schemas.openxmlformats.org/officeDocument/2006/custom-properties" xmlns:vt="http://schemas.openxmlformats.org/officeDocument/2006/docPropsVTypes"/>
</file>