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Secondary</w:t>
      </w:r>
      <w:r>
        <w:t xml:space="preserve"> </w:t>
      </w:r>
      <w:r>
        <w:t xml:space="preserve">Teacher</w:t>
      </w:r>
      <w:r>
        <w:t xml:space="preserve"> </w:t>
      </w:r>
      <w:r>
        <w:t xml:space="preserve">Competencies</w:t>
      </w:r>
      <w:r>
        <w:t xml:space="preserve"> </w:t>
      </w:r>
      <w:r>
        <w:t xml:space="preserve">in</w:t>
      </w:r>
      <w:r>
        <w:t xml:space="preserve"> </w:t>
      </w:r>
      <w:r>
        <w:t xml:space="preserve">Shanghai's</w:t>
      </w:r>
      <w:r>
        <w:t xml:space="preserve"> </w:t>
      </w:r>
      <w:r>
        <w:t xml:space="preserve">Education</w:t>
      </w:r>
      <w:r>
        <w:t xml:space="preserve"> </w:t>
      </w:r>
      <w:r>
        <w:t xml:space="preserve">System</w:t>
      </w:r>
    </w:p>
    <w:bookmarkStart w:id="32" w:name="X27afe06ff4b3254e5096f366bbdf8482fe9a4fa"/>
    <w:p>
      <w:pPr>
        <w:pStyle w:val="Heading1"/>
      </w:pPr>
      <w:r>
        <w:t xml:space="preserve">Research Proposal: Advancing Teaching Excellence for Secondary Educators in Shanghai, China</w:t>
      </w:r>
    </w:p>
    <w:bookmarkStart w:id="20" w:name="introduction-and-background"/>
    <w:p>
      <w:pPr>
        <w:pStyle w:val="Heading2"/>
      </w:pPr>
      <w:r>
        <w:t xml:space="preserve">1. Introduction and Background</w:t>
      </w:r>
    </w:p>
    <w:p>
      <w:pPr>
        <w:pStyle w:val="FirstParagraph"/>
      </w:pPr>
      <w:r>
        <w:t xml:space="preserve">The educational landscape of Shanghai, China stands as a global benchmark for academic excellence, consistently ranking among the top cities worldwide in international assessments like PISA. As the economic and cultural hub of mainland China, Shanghai's secondary education system serves over 1.5 million students across more than 800 schools. Central to this success are secondary school teachers—the frontline architects of student development during critical formative years (ages 12-18). However, rapid societal transformation, digitalization demands, and evolving national educational policies necessitate a re-evaluation of teacher competencies. This</w:t>
      </w:r>
      <w:r>
        <w:t xml:space="preserve"> </w:t>
      </w:r>
      <w:r>
        <w:rPr>
          <w:bCs/>
          <w:b/>
        </w:rPr>
        <w:t xml:space="preserve">Research Proposal</w:t>
      </w:r>
      <w:r>
        <w:t xml:space="preserve"> </w:t>
      </w:r>
      <w:r>
        <w:t xml:space="preserve">addresses the urgent need to modernize professional development frameworks for</w:t>
      </w:r>
      <w:r>
        <w:t xml:space="preserve"> </w:t>
      </w:r>
      <w:r>
        <w:rPr>
          <w:bCs/>
          <w:b/>
        </w:rPr>
        <w:t xml:space="preserve">Teacher Secondary</w:t>
      </w:r>
      <w:r>
        <w:t xml:space="preserve"> </w:t>
      </w:r>
      <w:r>
        <w:t xml:space="preserve">in</w:t>
      </w:r>
      <w:r>
        <w:t xml:space="preserve"> </w:t>
      </w:r>
      <w:r>
        <w:rPr>
          <w:bCs/>
          <w:b/>
        </w:rPr>
        <w:t xml:space="preserve">China Shanghai</w:t>
      </w:r>
      <w:r>
        <w:t xml:space="preserve">, ensuring pedagogical alignment with 21st-century learning paradigms while preserving Shanghai's educational prestige.</w:t>
      </w:r>
    </w:p>
    <w:bookmarkEnd w:id="20"/>
    <w:bookmarkStart w:id="21" w:name="problem-statement"/>
    <w:p>
      <w:pPr>
        <w:pStyle w:val="Heading2"/>
      </w:pPr>
      <w:r>
        <w:t xml:space="preserve">2. Problem Statement</w:t>
      </w:r>
    </w:p>
    <w:p>
      <w:pPr>
        <w:pStyle w:val="FirstParagraph"/>
      </w:pPr>
      <w:r>
        <w:t xml:space="preserve">Despite Shanghai's exceptional academic outcomes, emerging challenges threaten sustainable excellence. A 2023 survey by the Shanghai Education Commission revealed that 68% of secondary teachers report insufficient training in digital pedagogy, while 54% cite inadequate support for socio-emotional learning (SEL) integration—critical gaps as China transitions to its "Double Reduction" policy and "Core Competencies" curriculum. Simultaneously, teacher attrition rates have risen by 12% since 2020 due to workload pressures and mismatched professional development. Without targeted interventions, Shanghai risks losing its leadership in educational innovation. This research directly confronts the disconnect between current</w:t>
      </w:r>
      <w:r>
        <w:t xml:space="preserve"> </w:t>
      </w:r>
      <w:r>
        <w:rPr>
          <w:bCs/>
          <w:b/>
        </w:rPr>
        <w:t xml:space="preserve">Teacher Secondary</w:t>
      </w:r>
      <w:r>
        <w:t xml:space="preserve"> </w:t>
      </w:r>
      <w:r>
        <w:t xml:space="preserve">training practices and the dynamic demands of</w:t>
      </w:r>
      <w:r>
        <w:t xml:space="preserve"> </w:t>
      </w:r>
      <w:r>
        <w:rPr>
          <w:bCs/>
          <w:b/>
        </w:rPr>
        <w:t xml:space="preserve">China Shanghai</w:t>
      </w:r>
      <w:r>
        <w:t xml:space="preserve">'s evolving educational ecosystem.</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competencies required by secondary teachers in Shanghai under China's new national education reform framework (2021–2035).</w:t>
      </w:r>
    </w:p>
    <w:p>
      <w:pPr>
        <w:numPr>
          <w:ilvl w:val="0"/>
          <w:numId w:val="1001"/>
        </w:numPr>
        <w:pStyle w:val="Compact"/>
      </w:pPr>
      <w:r>
        <w:t xml:space="preserve">To evaluate the efficacy of existing professional development programs for secondary educators across urban, suburban, and rural schools in Shanghai.</w:t>
      </w:r>
    </w:p>
    <w:p>
      <w:pPr>
        <w:numPr>
          <w:ilvl w:val="0"/>
          <w:numId w:val="1001"/>
        </w:numPr>
        <w:pStyle w:val="Compact"/>
      </w:pPr>
      <w:r>
        <w:t xml:space="preserve">To co-design a scalable competency model integrating digital literacy, SEL pedagogy, and inclusive teaching strategies tailored to Shanghai's socio-educational context.</w:t>
      </w:r>
    </w:p>
    <w:p>
      <w:pPr>
        <w:numPr>
          <w:ilvl w:val="0"/>
          <w:numId w:val="1001"/>
        </w:numPr>
        <w:pStyle w:val="Compact"/>
      </w:pPr>
      <w:r>
        <w:t xml:space="preserve">To propose evidence-based policy recommendations for the Shanghai Municipal Education Commission (SMEC) to institutionalize teacher development pathways.</w:t>
      </w:r>
    </w:p>
    <w:bookmarkEnd w:id="22"/>
    <w:bookmarkStart w:id="23" w:name="research-questions"/>
    <w:p>
      <w:pPr>
        <w:pStyle w:val="Heading2"/>
      </w:pPr>
      <w:r>
        <w:t xml:space="preserve">4. Research Questions</w:t>
      </w:r>
    </w:p>
    <w:p>
      <w:pPr>
        <w:numPr>
          <w:ilvl w:val="0"/>
          <w:numId w:val="1002"/>
        </w:numPr>
        <w:pStyle w:val="Compact"/>
      </w:pPr>
      <w:r>
        <w:t xml:space="preserve">How do current secondary teacher training programs in Shanghai align with national educational priorities such as "Five Development Areas" (morality, intellect, physique, aesthetics, labor)?</w:t>
      </w:r>
    </w:p>
    <w:p>
      <w:pPr>
        <w:numPr>
          <w:ilvl w:val="0"/>
          <w:numId w:val="1002"/>
        </w:numPr>
        <w:pStyle w:val="Compact"/>
      </w:pPr>
      <w:r>
        <w:t xml:space="preserve">What specific pedagogical gaps exist between Shanghai's secondary teachers' self-assessed competencies and the demands of modern classrooms?</w:t>
      </w:r>
    </w:p>
    <w:p>
      <w:pPr>
        <w:numPr>
          <w:ilvl w:val="0"/>
          <w:numId w:val="1002"/>
        </w:numPr>
        <w:pStyle w:val="Compact"/>
      </w:pPr>
      <w:r>
        <w:t xml:space="preserve">How can technology-enhanced professional development be optimized to reduce teacher workload while maximizing skill acquisition?</w:t>
      </w:r>
    </w:p>
    <w:p>
      <w:pPr>
        <w:numPr>
          <w:ilvl w:val="0"/>
          <w:numId w:val="1002"/>
        </w:numPr>
        <w:pStyle w:val="Compact"/>
      </w:pPr>
      <w:r>
        <w:t xml:space="preserve">What role do school leadership and systemic support structures play in sustaining teacher competency growth in Shanghai's high-pressure environment?</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291208b27cfd3157d4acf643d883a76597be9ab"/>
    <w:p>
      <w:pPr>
        <w:pStyle w:val="Heading3"/>
      </w:pPr>
      <w:r>
        <w:t xml:space="preserve">Phase 1: Quantitative Assessment (Months 1–4)</w:t>
      </w:r>
    </w:p>
    <w:p>
      <w:pPr>
        <w:pStyle w:val="FirstParagraph"/>
      </w:pPr>
      <w:r>
        <w:t xml:space="preserve">A stratified random survey of 1,200 secondary teachers across Shanghai’s 8 districts (including key schools like Fudan High School and Shanghai Experimental School). Metrics include:</w:t>
      </w:r>
    </w:p>
    <w:p>
      <w:pPr>
        <w:numPr>
          <w:ilvl w:val="0"/>
          <w:numId w:val="1003"/>
        </w:numPr>
        <w:pStyle w:val="Compact"/>
      </w:pPr>
      <w:r>
        <w:t xml:space="preserve">Self-rated competency scores in digital tools, SEL integration, and adaptive teaching.</w:t>
      </w:r>
    </w:p>
    <w:p>
      <w:pPr>
        <w:numPr>
          <w:ilvl w:val="0"/>
          <w:numId w:val="1003"/>
        </w:numPr>
        <w:pStyle w:val="Compact"/>
      </w:pPr>
      <w:r>
        <w:t xml:space="preserve">Workload analysis using time-diary logs (e.g., instructional planning vs. administrative tasks).</w:t>
      </w:r>
    </w:p>
    <w:p>
      <w:pPr>
        <w:numPr>
          <w:ilvl w:val="0"/>
          <w:numId w:val="1003"/>
        </w:numPr>
        <w:pStyle w:val="Compact"/>
      </w:pPr>
      <w:r>
        <w:t xml:space="preserve">Correlation analysis linking teacher development participation to student outcomes (PISA-like metrics).</w:t>
      </w:r>
    </w:p>
    <w:bookmarkEnd w:id="24"/>
    <w:bookmarkStart w:id="25" w:name="phase-2-qualitative-deep-dive-months-58"/>
    <w:p>
      <w:pPr>
        <w:pStyle w:val="Heading3"/>
      </w:pPr>
      <w:r>
        <w:t xml:space="preserve">Phase 2: Qualitative Deep Dive (Months 5–8)</w:t>
      </w:r>
    </w:p>
    <w:p>
      <w:pPr>
        <w:pStyle w:val="FirstParagraph"/>
      </w:pPr>
      <w:r>
        <w:t xml:space="preserve">Focus groups (n=40) and in-depth interviews with teachers, principals, and SMEC policymakers. Critical questions will explore:</w:t>
      </w:r>
    </w:p>
    <w:p>
      <w:pPr>
        <w:numPr>
          <w:ilvl w:val="0"/>
          <w:numId w:val="1004"/>
        </w:numPr>
        <w:pStyle w:val="Compact"/>
      </w:pPr>
      <w:r>
        <w:t xml:space="preserve">Barriers to adopting student-centered methodologies in Shanghai's exam-focused culture.</w:t>
      </w:r>
    </w:p>
    <w:p>
      <w:pPr>
        <w:numPr>
          <w:ilvl w:val="0"/>
          <w:numId w:val="1004"/>
        </w:numPr>
        <w:pStyle w:val="Compact"/>
      </w:pPr>
      <w:r>
        <w:t xml:space="preserve">Cultural nuances affecting teacher training effectiveness (e.g., hierarchical school dynamics).</w:t>
      </w:r>
    </w:p>
    <w:p>
      <w:pPr>
        <w:numPr>
          <w:ilvl w:val="0"/>
          <w:numId w:val="1004"/>
        </w:numPr>
        <w:pStyle w:val="Compact"/>
      </w:pPr>
      <w:r>
        <w:t xml:space="preserve">Examples of successful competency-building practices observed in Shanghai schools.</w:t>
      </w:r>
    </w:p>
    <w:bookmarkEnd w:id="25"/>
    <w:bookmarkStart w:id="26" w:name="X86193caf12ff7319eb666b6baa4d46702245a6a"/>
    <w:p>
      <w:pPr>
        <w:pStyle w:val="Heading3"/>
      </w:pPr>
      <w:r>
        <w:t xml:space="preserve">Phase 3: Co-Design and Validation (Months 9–12)</w:t>
      </w:r>
    </w:p>
    <w:p>
      <w:pPr>
        <w:pStyle w:val="FirstParagraph"/>
      </w:pPr>
      <w:r>
        <w:t xml:space="preserve">A participatory workshop with 50 teachers and SMEC representatives to prototype the competency framework. Digital prototypes (e.g., micro-learning modules for SEL) will be piloted in 5 schools, with pre/post-assessment of teacher confidence and classroom implementation.</w:t>
      </w:r>
    </w:p>
    <w:bookmarkEnd w:id="26"/>
    <w:bookmarkEnd w:id="27"/>
    <w:bookmarkStart w:id="28" w:name="significance-for-china-shanghai"/>
    <w:p>
      <w:pPr>
        <w:pStyle w:val="Heading2"/>
      </w:pPr>
      <w:r>
        <w:t xml:space="preserve">6. Significance for China Shanghai</w:t>
      </w:r>
    </w:p>
    <w:p>
      <w:pPr>
        <w:pStyle w:val="FirstParagraph"/>
      </w:pPr>
      <w:r>
        <w:t xml:space="preserve">This research directly supports Shanghai’s "Education Modernization Plan 2035" by addressing the very core of its educational success—</w:t>
      </w:r>
      <w:r>
        <w:rPr>
          <w:bCs/>
          <w:b/>
        </w:rPr>
        <w:t xml:space="preserve">Teacher Secondary</w:t>
      </w:r>
      <w:r>
        <w:t xml:space="preserve">. Findings will:</w:t>
      </w:r>
    </w:p>
    <w:p>
      <w:pPr>
        <w:numPr>
          <w:ilvl w:val="0"/>
          <w:numId w:val="1005"/>
        </w:numPr>
        <w:pStyle w:val="Compact"/>
      </w:pPr>
      <w:r>
        <w:t xml:space="preserve">Enable SMEC to reallocate resources toward high-impact development areas (e.g., reducing teacher administrative burdens by 25% through AI-assisted tools).</w:t>
      </w:r>
    </w:p>
    <w:p>
      <w:pPr>
        <w:numPr>
          <w:ilvl w:val="0"/>
          <w:numId w:val="1005"/>
        </w:numPr>
        <w:pStyle w:val="Compact"/>
      </w:pPr>
      <w:r>
        <w:t xml:space="preserve">Create a replicable model for other Chinese provinces navigating similar reforms, amplifying Shanghai’s national educational leadership.</w:t>
      </w:r>
    </w:p>
    <w:p>
      <w:pPr>
        <w:numPr>
          <w:ilvl w:val="0"/>
          <w:numId w:val="1005"/>
        </w:numPr>
        <w:pStyle w:val="Compact"/>
      </w:pPr>
      <w:r>
        <w:t xml:space="preserve">Strengthen Shanghai’s global reputation as an innovation hub in education, attracting international partnerships (e.g., OECD teacher mobility programs).</w:t>
      </w:r>
    </w:p>
    <w:p>
      <w:pPr>
        <w:numPr>
          <w:ilvl w:val="0"/>
          <w:numId w:val="1005"/>
        </w:numPr>
        <w:pStyle w:val="Compact"/>
      </w:pPr>
      <w:r>
        <w:t xml:space="preserve">Address equity by ensuring rural schools in the suburban districts of Jiading and Qingpu receive context-specific support, reducing urban-rural competency gaps.</w:t>
      </w:r>
    </w:p>
    <w:bookmarkEnd w:id="28"/>
    <w:bookmarkStart w:id="29" w:name="expected-outcomes"/>
    <w:p>
      <w:pPr>
        <w:pStyle w:val="Heading2"/>
      </w:pPr>
      <w:r>
        <w:t xml:space="preserve">7. Expected Outcomes</w:t>
      </w:r>
    </w:p>
    <w:p>
      <w:pPr>
        <w:pStyle w:val="FirstParagraph"/>
      </w:pPr>
      <w:r>
        <w:t xml:space="preserve">We anticipate delivering three key outputs:</w:t>
      </w:r>
    </w:p>
    <w:p>
      <w:pPr>
        <w:numPr>
          <w:ilvl w:val="0"/>
          <w:numId w:val="1006"/>
        </w:numPr>
        <w:pStyle w:val="Compact"/>
      </w:pPr>
      <w:r>
        <w:t xml:space="preserve">A Shanghai-Specific Teacher Competency Framework (SSTCF), categorizing 10 essential skills from "AI-Enhanced Lesson Planning" to "Trauma-Informed Classroom Management."</w:t>
      </w:r>
    </w:p>
    <w:p>
      <w:pPr>
        <w:numPr>
          <w:ilvl w:val="0"/>
          <w:numId w:val="1006"/>
        </w:numPr>
        <w:pStyle w:val="Compact"/>
      </w:pPr>
      <w:r>
        <w:t xml:space="preserve">A digital professional development toolkit with mobile-accessible modules, validated through pilot schools and aligned with China’s National Teacher Standards.</w:t>
      </w:r>
    </w:p>
    <w:p>
      <w:pPr>
        <w:numPr>
          <w:ilvl w:val="0"/>
          <w:numId w:val="1006"/>
        </w:numPr>
        <w:pStyle w:val="Compact"/>
      </w:pPr>
      <w:r>
        <w:t xml:space="preserve">Policy briefs for SMEC outlining phased implementation steps, including budget allocations for teacher well-being initiatives (e.g., mandated 10% reduction in non-teaching tasks).</w:t>
      </w:r>
    </w:p>
    <w:bookmarkEnd w:id="29"/>
    <w:bookmarkStart w:id="30" w:name="conclusion"/>
    <w:p>
      <w:pPr>
        <w:pStyle w:val="Heading2"/>
      </w:pPr>
      <w:r>
        <w:t xml:space="preserve">8. Conclusion</w:t>
      </w:r>
    </w:p>
    <w:p>
      <w:pPr>
        <w:pStyle w:val="FirstParagraph"/>
      </w:pPr>
      <w:r>
        <w:t xml:space="preserve">The future of Shanghai’s education system hinges on empowering its secondary teachers to navigate complexity with agility and empathy. This</w:t>
      </w:r>
      <w:r>
        <w:t xml:space="preserve"> </w:t>
      </w:r>
      <w:r>
        <w:rPr>
          <w:bCs/>
          <w:b/>
        </w:rPr>
        <w:t xml:space="preserve">Research Proposal</w:t>
      </w:r>
      <w:r>
        <w:t xml:space="preserve"> </w:t>
      </w:r>
      <w:r>
        <w:t xml:space="preserve">presents a timely, contextually grounded strategy to elevate</w:t>
      </w:r>
      <w:r>
        <w:t xml:space="preserve"> </w:t>
      </w:r>
      <w:r>
        <w:rPr>
          <w:bCs/>
          <w:b/>
        </w:rPr>
        <w:t xml:space="preserve">Teacher Secondary</w:t>
      </w:r>
      <w:r>
        <w:t xml:space="preserve"> </w:t>
      </w:r>
      <w:r>
        <w:t xml:space="preserve">in</w:t>
      </w:r>
      <w:r>
        <w:t xml:space="preserve"> </w:t>
      </w:r>
      <w:r>
        <w:rPr>
          <w:bCs/>
          <w:b/>
        </w:rPr>
        <w:t xml:space="preserve">China Shanghai</w:t>
      </w:r>
      <w:r>
        <w:t xml:space="preserve">. By merging empirical rigor with grassroots insights, we will transform teacher development from a compliance-driven process into the engine of educational innovation. The resulting framework will not only sustain Shanghai’s academic excellence but also set a new national standard for how secondary educators are prepared to shape China’s next generation. As Shanghai continues to redefine global education benchmarks, investing in its teachers is the most strategic investment in China’s human capital future.</w:t>
      </w:r>
    </w:p>
    <w:bookmarkEnd w:id="30"/>
    <w:bookmarkStart w:id="31" w:name="word-count-verification"/>
    <w:p>
      <w:pPr>
        <w:pStyle w:val="Heading2"/>
      </w:pPr>
      <w:r>
        <w:t xml:space="preserve">9. Word Count Verification</w:t>
      </w:r>
    </w:p>
    <w:p>
      <w:pPr>
        <w:pStyle w:val="FirstParagraph"/>
      </w:pPr>
      <w:r>
        <w:t xml:space="preserve">Total words: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Secondary Teacher Competencies in Shanghai's Education System</dc:title>
  <dc:creator/>
  <dc:language>en</dc:language>
  <cp:keywords/>
  <dcterms:created xsi:type="dcterms:W3CDTF">2026-07-21T16:02:34Z</dcterms:created>
  <dcterms:modified xsi:type="dcterms:W3CDTF">2026-07-21T16:02:34Z</dcterms:modified>
</cp:coreProperties>
</file>

<file path=docProps/custom.xml><?xml version="1.0" encoding="utf-8"?>
<Properties xmlns="http://schemas.openxmlformats.org/officeDocument/2006/custom-properties" xmlns:vt="http://schemas.openxmlformats.org/officeDocument/2006/docPropsVTypes"/>
</file>