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Medellín,</w:t>
      </w:r>
      <w:r>
        <w:t xml:space="preserve"> </w:t>
      </w:r>
      <w:r>
        <w:t xml:space="preserve">Colombia</w:t>
      </w:r>
    </w:p>
    <w:bookmarkStart w:id="32" w:name="X1cc848569ad8cc28c0dd1aed526aaa000bba7e3"/>
    <w:p>
      <w:pPr>
        <w:pStyle w:val="Heading1"/>
      </w:pPr>
      <w:r>
        <w:t xml:space="preserve">Research Proposal: Enhancing Professional Development for Secondary Teachers in Medellín, Colombia</w:t>
      </w:r>
    </w:p>
    <w:bookmarkStart w:id="20" w:name="introduction"/>
    <w:p>
      <w:pPr>
        <w:pStyle w:val="Heading2"/>
      </w:pPr>
      <w:r>
        <w:t xml:space="preserve">1. Introduction</w:t>
      </w:r>
    </w:p>
    <w:p>
      <w:pPr>
        <w:pStyle w:val="FirstParagraph"/>
      </w:pPr>
      <w:r>
        <w:t xml:space="preserve">The educational landscape of Colombia Medellín represents a dynamic intersection of opportunity and systemic challenge. As one of Latin America's most transformative urban centers, Medellín has made remarkable strides in social development through innovative public policies. However, the secondary education sector remains critical to sustaining this progress, with teachers serving as pivotal agents for student success in a context marked by socioeconomic disparities and evolving pedagogical demands. This</w:t>
      </w:r>
      <w:r>
        <w:t xml:space="preserve"> </w:t>
      </w:r>
      <w:r>
        <w:rPr>
          <w:bCs/>
          <w:b/>
        </w:rPr>
        <w:t xml:space="preserve">Research Proposal</w:t>
      </w:r>
      <w:r>
        <w:t xml:space="preserve"> </w:t>
      </w:r>
      <w:r>
        <w:t xml:space="preserve">addresses an urgent need to strengthen the capacity of</w:t>
      </w:r>
      <w:r>
        <w:t xml:space="preserve"> </w:t>
      </w:r>
      <w:r>
        <w:rPr>
          <w:bCs/>
          <w:b/>
        </w:rPr>
        <w:t xml:space="preserve">Teacher Secondary</w:t>
      </w:r>
      <w:r>
        <w:t xml:space="preserve"> </w:t>
      </w:r>
      <w:r>
        <w:t xml:space="preserve">within Medellín's educational ecosystem, aligning with Colombia's national education strategy "Pensar en Educación" and the municipal commitment to equitable quality learning.</w:t>
      </w:r>
    </w:p>
    <w:bookmarkEnd w:id="20"/>
    <w:bookmarkStart w:id="21" w:name="problem-statement"/>
    <w:p>
      <w:pPr>
        <w:pStyle w:val="Heading2"/>
      </w:pPr>
      <w:r>
        <w:t xml:space="preserve">2. Problem Statement</w:t>
      </w:r>
    </w:p>
    <w:p>
      <w:pPr>
        <w:pStyle w:val="FirstParagraph"/>
      </w:pPr>
      <w:r>
        <w:t xml:space="preserve">In Medellín, secondary teachers (grades 7-11) confront multifaceted challenges including large class sizes (averaging 35+ students), limited access to specialized training, and the need to adapt curricula for diverse learners—from urban youth in marginalized neighborhoods to students from developing social sectors. According to UNESCO's 2023 Colombia Education Report, only 48% of secondary teachers in Medellín report adequate professional development opportunities, directly correlating with lower student performance metrics in science and mathematics—subjects where Medellín lags behind national averages by 17%. Furthermore, the ongoing transition to digital pedagogy post-pandemic has exposed critical gaps in technological competence among</w:t>
      </w:r>
      <w:r>
        <w:t xml:space="preserve"> </w:t>
      </w:r>
      <w:r>
        <w:rPr>
          <w:bCs/>
          <w:b/>
        </w:rPr>
        <w:t xml:space="preserve">Teacher Secondary</w:t>
      </w:r>
      <w:r>
        <w:t xml:space="preserve">, particularly in public schools serving low-income communities. This research will investigate how contextualized professional development can bridge these gaps while addressing Colombia Medellín's unique sociocultural fabric.</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evaluate a contextually responsive professional development model for secondary teachers in Medellín, Colombia that enhances pedagogical efficacy and student engagement.</w:t>
      </w:r>
    </w:p>
    <w:p>
      <w:pPr>
        <w:pStyle w:val="BodyText"/>
      </w:pPr>
      <w:r>
        <w:rPr>
          <w:bCs/>
          <w:b/>
        </w:rPr>
        <w:t xml:space="preserve">Specific Objectives:</w:t>
      </w:r>
    </w:p>
    <w:p>
      <w:pPr>
        <w:numPr>
          <w:ilvl w:val="0"/>
          <w:numId w:val="1001"/>
        </w:numPr>
        <w:pStyle w:val="Compact"/>
      </w:pPr>
      <w:r>
        <w:t xml:space="preserve">To map existing challenges faced by secondary teachers across 10 public schools in Medellín’s 12 districts (prioritizing high-poverty zones like Comuna 13 and Ciudad Antioquia).</w:t>
      </w:r>
    </w:p>
    <w:p>
      <w:pPr>
        <w:numPr>
          <w:ilvl w:val="0"/>
          <w:numId w:val="1001"/>
        </w:numPr>
        <w:pStyle w:val="Compact"/>
      </w:pPr>
      <w:r>
        <w:t xml:space="preserve">To co-create a professional development framework integrating digital competencies, trauma-informed teaching, and local cultural relevance with teacher stakeholders.</w:t>
      </w:r>
    </w:p>
    <w:p>
      <w:pPr>
        <w:numPr>
          <w:ilvl w:val="0"/>
          <w:numId w:val="1001"/>
        </w:numPr>
        <w:pStyle w:val="Compact"/>
      </w:pPr>
      <w:r>
        <w:t xml:space="preserve">To measure the impact of this model on teacher self-efficacy (using adapted TSES scale) and student learning outcomes in STEM subjects after 12 months.</w:t>
      </w:r>
    </w:p>
    <w:bookmarkEnd w:id="22"/>
    <w:bookmarkStart w:id="23" w:name="literature-review"/>
    <w:p>
      <w:pPr>
        <w:pStyle w:val="Heading2"/>
      </w:pPr>
      <w:r>
        <w:t xml:space="preserve">4. Literature Review</w:t>
      </w:r>
    </w:p>
    <w:p>
      <w:pPr>
        <w:pStyle w:val="FirstParagraph"/>
      </w:pPr>
      <w:r>
        <w:t xml:space="preserve">Existing literature underscores that effective teacher development must be place-based. While studies like those by García &amp; López (2021) in Bogotá highlight the efficacy of collaborative learning communities, they neglect Medellín’s specific urban context characterized by post-conflict reconciliation needs and innovative community-led initiatives (e.g., "Comunidades Educativas" projects). Similarly, Colombia's 2022 National Teacher Policy emphasizes "pedagogical innovation," yet implementation gaps persist in secondary education due to top-down approaches. This research extends this discourse by anchoring interventions in Medellín’s reality: a city where public schools serve over 300,000 secondary students (Colombia Ministry of Education, 2023), with 65% working in informal economies requiring flexible learning modalities. Crucially, it addresses the absence of localized studies on</w:t>
      </w:r>
      <w:r>
        <w:t xml:space="preserve"> </w:t>
      </w:r>
      <w:r>
        <w:rPr>
          <w:bCs/>
          <w:b/>
        </w:rPr>
        <w:t xml:space="preserve">Teacher Secondary</w:t>
      </w:r>
      <w:r>
        <w:t xml:space="preserve"> </w:t>
      </w:r>
      <w:r>
        <w:t xml:space="preserve">professional growth in Colombia Medellín—a gap this proposal aims to fill.</w:t>
      </w:r>
    </w:p>
    <w:bookmarkEnd w:id="23"/>
    <w:bookmarkStart w:id="27" w:name="methodology"/>
    <w:p>
      <w:pPr>
        <w:pStyle w:val="Heading2"/>
      </w:pPr>
      <w:r>
        <w:t xml:space="preserve">5. Methodology</w:t>
      </w:r>
    </w:p>
    <w:p>
      <w:pPr>
        <w:pStyle w:val="FirstParagraph"/>
      </w:pPr>
      <w:r>
        <w:t xml:space="preserve">This mixed-methods study employs a participatory action research (PAR) design over 18 months, ethically approved by the University of Antioquia’s Institutional Review Board. The methodology is structured in three phases:</w:t>
      </w:r>
    </w:p>
    <w:bookmarkStart w:id="24" w:name="phase-1-contextual-assessment-months-1-4"/>
    <w:p>
      <w:pPr>
        <w:pStyle w:val="Heading3"/>
      </w:pPr>
      <w:r>
        <w:t xml:space="preserve">Phase 1: Contextual Assessment (Months 1-4)</w:t>
      </w:r>
    </w:p>
    <w:p>
      <w:pPr>
        <w:pStyle w:val="FirstParagraph"/>
      </w:pPr>
      <w:r>
        <w:t xml:space="preserve">Conducting focus groups with 80 secondary teachers across five Medellín districts, alongside surveys assessing challenges in classroom management, digital tools usage (e.g., Microsoft Teams, Google Classroom), and student socioemotional needs. School administrators will provide contextual data on resource allocation.</w:t>
      </w:r>
    </w:p>
    <w:bookmarkEnd w:id="24"/>
    <w:bookmarkStart w:id="25" w:name="Xbcb96493c2466fafeaa6257a0aed73285626691"/>
    <w:p>
      <w:pPr>
        <w:pStyle w:val="Heading3"/>
      </w:pPr>
      <w:r>
        <w:t xml:space="preserve">Phase 2: Co-Design of Intervention (Months 5-8)</w:t>
      </w:r>
    </w:p>
    <w:p>
      <w:pPr>
        <w:pStyle w:val="FirstParagraph"/>
      </w:pPr>
      <w:r>
        <w:t xml:space="preserve">Facilitating teacher-led workshops in partnership with the Medellín Department of Education to develop a modular training program. Key components include: (a) Digital literacy modules co-designed with tech NGOs like "Code for Medellín"; (b) Trauma-informed strategies drawn from the city's successful "Escuelas de Paz" initiative; and (c) Localization of curricula through collaboration with local artists and community leaders.</w:t>
      </w:r>
    </w:p>
    <w:bookmarkEnd w:id="25"/>
    <w:bookmarkStart w:id="26" w:name="Xb3615b0564809376a2449749ecca51ab01a6ffc"/>
    <w:p>
      <w:pPr>
        <w:pStyle w:val="Heading3"/>
      </w:pPr>
      <w:r>
        <w:t xml:space="preserve">Phase 3: Implementation &amp; Impact Evaluation (Months 9-18)</w:t>
      </w:r>
    </w:p>
    <w:p>
      <w:pPr>
        <w:pStyle w:val="FirstParagraph"/>
      </w:pPr>
      <w:r>
        <w:t xml:space="preserve">Implementing the model in six public secondary schools, with a control group in five non-participating schools. Quantitative data will track pre/post teacher self-efficacy (TSES), student attendance, and STEM test scores. Qualitative analysis will include classroom observations and teacher diaries to capture nuanced impacts on pedagogical identity.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anticipates three transformative outcomes for Colombia Medellín:</w:t>
      </w:r>
    </w:p>
    <w:p>
      <w:pPr>
        <w:numPr>
          <w:ilvl w:val="0"/>
          <w:numId w:val="1002"/>
        </w:numPr>
        <w:pStyle w:val="Compact"/>
      </w:pPr>
      <w:r>
        <w:rPr>
          <w:bCs/>
          <w:b/>
        </w:rPr>
        <w:t xml:space="preserve">Practical Framework:</w:t>
      </w:r>
      <w:r>
        <w:t xml:space="preserve"> </w:t>
      </w:r>
      <w:r>
        <w:t xml:space="preserve">A scalable, culturally grounded professional development model for secondary educators, directly responsive to the realities of Medellín's public schools.</w:t>
      </w:r>
    </w:p>
    <w:p>
      <w:pPr>
        <w:numPr>
          <w:ilvl w:val="0"/>
          <w:numId w:val="1002"/>
        </w:numPr>
        <w:pStyle w:val="Compact"/>
      </w:pPr>
      <w:r>
        <w:rPr>
          <w:bCs/>
          <w:b/>
        </w:rPr>
        <w:t xml:space="preserve">Policy Influence:</w:t>
      </w:r>
      <w:r>
        <w:t xml:space="preserve"> </w:t>
      </w:r>
      <w:r>
        <w:t xml:space="preserve">Evidence to advocate for municipal education reforms prioritizing teacher autonomy in training design—a shift from Colombia’s current centralized model.</w:t>
      </w:r>
    </w:p>
    <w:p>
      <w:pPr>
        <w:numPr>
          <w:ilvl w:val="0"/>
          <w:numId w:val="1002"/>
        </w:numPr>
        <w:pStyle w:val="Compact"/>
      </w:pPr>
      <w:r>
        <w:rPr>
          <w:bCs/>
          <w:b/>
        </w:rPr>
        <w:t xml:space="preserve">Social Impact:</w:t>
      </w:r>
      <w:r>
        <w:t xml:space="preserve"> </w:t>
      </w:r>
      <w:r>
        <w:t xml:space="preserve">Enhanced student outcomes in critical subjects, particularly for vulnerable populations. By centering the voices of</w:t>
      </w:r>
      <w:r>
        <w:t xml:space="preserve"> </w:t>
      </w:r>
      <w:r>
        <w:rPr>
          <w:bCs/>
          <w:b/>
        </w:rPr>
        <w:t xml:space="preserve">Teacher Secondary</w:t>
      </w:r>
      <w:r>
        <w:t xml:space="preserve">, the project fosters ownership and sustainability, potentially reducing teacher attrition rates which currently stand at 22% annually in Medellín’s secondary sector (IDB, 2023).</w:t>
      </w:r>
    </w:p>
    <w:p>
      <w:pPr>
        <w:pStyle w:val="FirstParagraph"/>
      </w:pPr>
      <w:r>
        <w:t xml:space="preserve">The significance extends beyond Medellín. As Colombia’s second-largest city and a global case study in urban transformation (e.g., "Medellín: From Violence to Innovation" by UN-Habitat), findings will contribute to Latin American discourse on equitable education post-conflict, offering transferable insights for cities like Cali or Quito grappling with similar challenges.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Contextual Assessment</w:t>
      </w:r>
    </w:p>
    <w:p>
      <w:pPr>
        <w:pStyle w:val="BodyText"/>
      </w:pPr>
      <w:r>
        <w:t xml:space="preserve">1-4</w:t>
      </w:r>
    </w:p>
    <w:p>
      <w:pPr>
        <w:pStyle w:val="BodyText"/>
      </w:pPr>
      <w:r>
        <w:t xml:space="preserve">School visits, focus groups, survey deployment</w:t>
      </w:r>
    </w:p>
    <w:p>
      <w:pPr>
        <w:pStyle w:val="BodyText"/>
      </w:pPr>
      <w:r>
        <w:t xml:space="preserve">Co-Design Workshop Series</w:t>
      </w:r>
    </w:p>
    <w:p>
      <w:pPr>
        <w:pStyle w:val="BodyText"/>
      </w:pPr>
      <w:r>
        <w:t xml:space="preserve">5-8&lt; td &gt;Teacher-led curriculum development sessions</w:t>
      </w:r>
    </w:p>
    <w:p>
      <w:pPr>
        <w:pStyle w:val="BodyText"/>
      </w:pPr>
      <w:r>
        <w:t xml:space="preserve">Implementation &amp; Monitoring</w:t>
      </w:r>
    </w:p>
    <w:p>
      <w:pPr>
        <w:pStyle w:val="BodyText"/>
      </w:pPr>
      <w:r>
        <w:t xml:space="preserve">9-15</w:t>
      </w:r>
    </w:p>
    <w:p>
      <w:pPr>
        <w:pStyle w:val="BodyText"/>
      </w:pPr>
      <w:r>
        <w:t xml:space="preserve">Piloting model, bi-monthly teacher feedback loops</w:t>
      </w:r>
    </w:p>
    <w:p>
      <w:pPr>
        <w:pStyle w:val="BodyText"/>
      </w:pPr>
      <w:r>
        <w:t xml:space="preserve">Evaluation &amp; Reporting</w:t>
      </w:r>
    </w:p>
    <w:p>
      <w:pPr>
        <w:pStyle w:val="BodyText"/>
      </w:pPr>
      <w:r>
        <w:t xml:space="preserve">16-18</w:t>
      </w:r>
    </w:p>
    <w:p>
      <w:pPr>
        <w:pStyle w:val="BodyText"/>
      </w:pPr>
      <w:r>
        <w:t xml:space="preserve">Data analysis, policy briefs for Medellín Education Department</w:t>
      </w:r>
    </w:p>
    <w:bookmarkEnd w:id="29"/>
    <w:bookmarkStart w:id="30" w:name="conclusion"/>
    <w:p>
      <w:pPr>
        <w:pStyle w:val="Heading2"/>
      </w:pPr>
      <w:r>
        <w:t xml:space="preserve">8. Conclusion</w:t>
      </w:r>
    </w:p>
    <w:p>
      <w:pPr>
        <w:pStyle w:val="FirstParagraph"/>
      </w:pPr>
      <w:r>
        <w:t xml:space="preserve">The future of Colombia Medellín’s educational trajectory hinges on empowering its most vital resource: the secondary teacher. This</w:t>
      </w:r>
      <w:r>
        <w:t xml:space="preserve"> </w:t>
      </w:r>
      <w:r>
        <w:rPr>
          <w:bCs/>
          <w:b/>
        </w:rPr>
        <w:t xml:space="preserve">Research Proposal</w:t>
      </w:r>
      <w:r>
        <w:t xml:space="preserve"> </w:t>
      </w:r>
      <w:r>
        <w:t xml:space="preserve">responds to an urgent call for contextually intelligent interventions that honor the agency of</w:t>
      </w:r>
      <w:r>
        <w:t xml:space="preserve"> </w:t>
      </w:r>
      <w:r>
        <w:rPr>
          <w:bCs/>
          <w:b/>
        </w:rPr>
        <w:t xml:space="preserve">Teacher Secondary</w:t>
      </w:r>
      <w:r>
        <w:t xml:space="preserve">. By centering Medellín’s unique sociocultural and urban reality, this study moves beyond generic training programs toward sustainable, locally rooted transformation. The outcomes will not only elevate classroom practices across Colombia's second-most populous city but also establish a replicable blueprint for secondary education reform in post-conflict Latin America. Investing in teacher development is not merely an educational imperative—it is a fundamental investment in Medellín’s identity as a city where every student, regardless of background, can thrive.</w:t>
      </w:r>
    </w:p>
    <w:bookmarkEnd w:id="30"/>
    <w:bookmarkStart w:id="31" w:name="references-selected"/>
    <w:p>
      <w:pPr>
        <w:pStyle w:val="Heading2"/>
      </w:pPr>
      <w:r>
        <w:t xml:space="preserve">References (Selected)</w:t>
      </w:r>
    </w:p>
    <w:p>
      <w:pPr>
        <w:numPr>
          <w:ilvl w:val="0"/>
          <w:numId w:val="1003"/>
        </w:numPr>
        <w:pStyle w:val="Compact"/>
      </w:pPr>
      <w:r>
        <w:t xml:space="preserve">Colombia Ministry of Education. (2023). *National Education Statistics Report*. Bogotá: Mineduc.</w:t>
      </w:r>
    </w:p>
    <w:p>
      <w:pPr>
        <w:numPr>
          <w:ilvl w:val="0"/>
          <w:numId w:val="1003"/>
        </w:numPr>
        <w:pStyle w:val="Compact"/>
      </w:pPr>
      <w:r>
        <w:t xml:space="preserve">García, S., &amp; López, J. (2021). "Teacher Professional Development in Colombian Urban Contexts." *Latin American Journal of Education*, 45(3), 78-95.</w:t>
      </w:r>
    </w:p>
    <w:p>
      <w:pPr>
        <w:numPr>
          <w:ilvl w:val="0"/>
          <w:numId w:val="1003"/>
        </w:numPr>
        <w:pStyle w:val="Compact"/>
      </w:pPr>
      <w:r>
        <w:t xml:space="preserve">Inter-American Development Bank (IDB). (2023). *Teacher Retention in Medellín Public Schools*. Washington, DC: IDB.</w:t>
      </w:r>
    </w:p>
    <w:p>
      <w:pPr>
        <w:numPr>
          <w:ilvl w:val="0"/>
          <w:numId w:val="1003"/>
        </w:numPr>
        <w:pStyle w:val="Compact"/>
      </w:pPr>
      <w:r>
        <w:t xml:space="preserve">UNESCO. (2023). *Colombia Education Sector Review: Equity and Quality*. Paris: UNESCO Publishing.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Teachers in Medellín, Colombia</dc:title>
  <dc:creator/>
  <dc:language>en</dc:language>
  <cp:keywords/>
  <dcterms:created xsi:type="dcterms:W3CDTF">2025-12-11T06:57:53Z</dcterms:created>
  <dcterms:modified xsi:type="dcterms:W3CDTF">2025-12-11T06:57:53Z</dcterms:modified>
</cp:coreProperties>
</file>

<file path=docProps/custom.xml><?xml version="1.0" encoding="utf-8"?>
<Properties xmlns="http://schemas.openxmlformats.org/officeDocument/2006/custom-properties" xmlns:vt="http://schemas.openxmlformats.org/officeDocument/2006/docPropsVTypes"/>
</file>