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Berlin,</w:t>
      </w:r>
      <w:r>
        <w:t xml:space="preserve"> </w:t>
      </w:r>
      <w:r>
        <w:t xml:space="preserve">Germany</w:t>
      </w:r>
    </w:p>
    <w:bookmarkStart w:id="29" w:name="X2840cc2befffab3810cb63226b386bcb4b0503b"/>
    <w:p>
      <w:pPr>
        <w:pStyle w:val="Heading1"/>
      </w:pPr>
      <w:r>
        <w:t xml:space="preserve">Research Proposal: Advancing Professional Development for Teacher Secondary in the Context of Berlin's Diverse Educational Landscape, Germany</w:t>
      </w:r>
    </w:p>
    <w:bookmarkStart w:id="20" w:name="introduction-and-background"/>
    <w:p>
      <w:pPr>
        <w:pStyle w:val="Heading2"/>
      </w:pPr>
      <w:r>
        <w:t xml:space="preserve">1. Introduction and Background</w:t>
      </w:r>
    </w:p>
    <w:p>
      <w:pPr>
        <w:pStyle w:val="FirstParagraph"/>
      </w:pPr>
      <w:r>
        <w:t xml:space="preserve">The educational environment within</w:t>
      </w:r>
      <w:r>
        <w:t xml:space="preserve"> </w:t>
      </w:r>
      <w:r>
        <w:rPr>
          <w:bCs/>
          <w:b/>
        </w:rPr>
        <w:t xml:space="preserve">Germany Berlin</w:t>
      </w:r>
      <w:r>
        <w:t xml:space="preserve"> </w:t>
      </w:r>
      <w:r>
        <w:t xml:space="preserve">presents a unique confluence of historical complexity, demographic diversity, and evolving pedagogical demands. As one of Europe's most dynamic urban centers, Berlin's secondary education system (Sekundarstufe) serves over 200,000 students across more than 500 schools, with approximately 35% representing immigrant backgrounds or speaking German as a second language. This demographic reality necessitates urgent scholarly attention to the professional competencies of</w:t>
      </w:r>
      <w:r>
        <w:t xml:space="preserve"> </w:t>
      </w:r>
      <w:r>
        <w:rPr>
          <w:bCs/>
          <w:b/>
        </w:rPr>
        <w:t xml:space="preserve">Teacher Secondary</w:t>
      </w:r>
      <w:r>
        <w:t xml:space="preserve"> </w:t>
      </w:r>
      <w:r>
        <w:t xml:space="preserve">within Berlin's classrooms. The current</w:t>
      </w:r>
      <w:r>
        <w:t xml:space="preserve"> </w:t>
      </w:r>
      <w:r>
        <w:rPr>
          <w:bCs/>
          <w:b/>
        </w:rPr>
        <w:t xml:space="preserve">Research Proposal</w:t>
      </w:r>
      <w:r>
        <w:t xml:space="preserve"> </w:t>
      </w:r>
      <w:r>
        <w:t xml:space="preserve">addresses a critical gap in understanding how secondary educators navigate multicultural pedagogy, digital integration, and socio-emotional support amid Berlin's rapidly changing educational policies. This study is positioned at the intersection of teacher efficacy research and urban education reform in</w:t>
      </w:r>
      <w:r>
        <w:t xml:space="preserve"> </w:t>
      </w:r>
      <w:r>
        <w:rPr>
          <w:bCs/>
          <w:b/>
        </w:rPr>
        <w:t xml:space="preserve">Germany Berlin</w:t>
      </w:r>
      <w:r>
        <w:t xml:space="preserve">, aiming to generate context-specific solutions for systemic challenges.</w:t>
      </w:r>
    </w:p>
    <w:bookmarkEnd w:id="20"/>
    <w:bookmarkStart w:id="21" w:name="problem-statement"/>
    <w:p>
      <w:pPr>
        <w:pStyle w:val="Heading2"/>
      </w:pPr>
      <w:r>
        <w:t xml:space="preserve">2. Problem Statement</w:t>
      </w:r>
    </w:p>
    <w:p>
      <w:pPr>
        <w:pStyle w:val="FirstParagraph"/>
      </w:pPr>
      <w:r>
        <w:t xml:space="preserve">Despite Germany's national focus on educational equity, Berlin's secondary schools face persistent disparities in student achievement linked to teacher preparedness. Recent PISA data (2023) indicates that Berlin’s immigrant students score 45 points below native peers in language comprehension—a gap exacerbated by insufficient training in culturally responsive teaching for</w:t>
      </w:r>
      <w:r>
        <w:t xml:space="preserve"> </w:t>
      </w:r>
      <w:r>
        <w:rPr>
          <w:bCs/>
          <w:b/>
        </w:rPr>
        <w:t xml:space="preserve">Teacher Secondary</w:t>
      </w:r>
      <w:r>
        <w:t xml:space="preserve">. Concurrently, the "Berlin Education Concept 2030" prioritizes digital literacy, yet only 18% of secondary teachers report confidence in implementing AI-driven pedagogical tools (Berlin Senate Department of Education, 2023). This disconnect between policy aspirations and classroom reality underscores an acute need for evidence-based professional development frameworks tailored to Berlin’s urban context. Without targeted intervention, the</w:t>
      </w:r>
      <w:r>
        <w:t xml:space="preserve"> </w:t>
      </w:r>
      <w:r>
        <w:rPr>
          <w:bCs/>
          <w:b/>
        </w:rPr>
        <w:t xml:space="preserve">Research Proposal</w:t>
      </w:r>
      <w:r>
        <w:t xml:space="preserve"> </w:t>
      </w:r>
      <w:r>
        <w:t xml:space="preserve">argues, Berlin risks perpetuating inequities while failing to harness its demographic strengths as a global city.</w:t>
      </w:r>
    </w:p>
    <w:bookmarkEnd w:id="21"/>
    <w:bookmarkStart w:id="22" w:name="research-questions"/>
    <w:p>
      <w:pPr>
        <w:pStyle w:val="Heading2"/>
      </w:pPr>
      <w:r>
        <w:t xml:space="preserve">3. Research Questions</w:t>
      </w:r>
    </w:p>
    <w:p>
      <w:pPr>
        <w:numPr>
          <w:ilvl w:val="0"/>
          <w:numId w:val="1001"/>
        </w:numPr>
        <w:pStyle w:val="Compact"/>
      </w:pPr>
      <w:r>
        <w:t xml:space="preserve">How do secondary teachers in Berlin currently conceptualize and implement culturally responsive pedagogy across diverse classrooms?</w:t>
      </w:r>
    </w:p>
    <w:p>
      <w:pPr>
        <w:numPr>
          <w:ilvl w:val="0"/>
          <w:numId w:val="1001"/>
        </w:numPr>
        <w:pStyle w:val="Compact"/>
      </w:pPr>
      <w:r>
        <w:t xml:space="preserve">What institutional and personal barriers hinder the effective integration of digital tools into subject-specific instruction by Berlin's Secondary Teachers?</w:t>
      </w:r>
    </w:p>
    <w:p>
      <w:pPr>
        <w:numPr>
          <w:ilvl w:val="0"/>
          <w:numId w:val="1001"/>
        </w:numPr>
        <w:pStyle w:val="Compact"/>
      </w:pPr>
      <w:r>
        <w:t xml:space="preserve">To what extent does existing professional development for Secondary Teachers in Berlin address socio-emotional learning (SEL) competencies required for supporting migrant students?</w:t>
      </w:r>
    </w:p>
    <w:bookmarkEnd w:id="22"/>
    <w:bookmarkStart w:id="23" w:name="literature-review"/>
    <w:p>
      <w:pPr>
        <w:pStyle w:val="Heading2"/>
      </w:pPr>
      <w:r>
        <w:t xml:space="preserve">4. Literature Review</w:t>
      </w:r>
    </w:p>
    <w:p>
      <w:pPr>
        <w:pStyle w:val="FirstParagraph"/>
      </w:pPr>
      <w:r>
        <w:t xml:space="preserve">Existing studies on German secondary education (e.g., Schüller &amp; Meyer, 2021) predominantly focus on rural or standardized urban contexts, neglecting Berlin’s hyper-diverse ecosystem. Research by Müller (2020) identifies "pedagogical isolation" among Berlin teachers but offers no localized solutions. International comparative work (OECD, 2022) highlights Finland's success with teacher autonomy but fails to account for Germany's centralized curriculum framework. Crucially, no study has examined how Berlin’s unique post-reunification educational policies shape</w:t>
      </w:r>
      <w:r>
        <w:t xml:space="preserve"> </w:t>
      </w:r>
      <w:r>
        <w:rPr>
          <w:bCs/>
          <w:b/>
        </w:rPr>
        <w:t xml:space="preserve">Teacher Secondary</w:t>
      </w:r>
      <w:r>
        <w:t xml:space="preserve"> </w:t>
      </w:r>
      <w:r>
        <w:t xml:space="preserve">agency. This gap renders current professional development models ineffective for the city’s specific needs, making this</w:t>
      </w:r>
      <w:r>
        <w:t xml:space="preserve"> </w:t>
      </w:r>
      <w:r>
        <w:rPr>
          <w:bCs/>
          <w:b/>
        </w:rPr>
        <w:t xml:space="preserve">Research Proposal</w:t>
      </w:r>
      <w:r>
        <w:t xml:space="preserve"> </w:t>
      </w:r>
      <w:r>
        <w:t xml:space="preserve">urgently necessary to fill a critical void in German educational scholarship.</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400 randomly selected Secondary Teachers across Berlin’s districts (each school district stratified by migration index), measuring self-efficacy in cultural responsiveness, digital pedagogy, and SEL implementation.</w:t>
      </w:r>
    </w:p>
    <w:p>
      <w:pPr>
        <w:numPr>
          <w:ilvl w:val="0"/>
          <w:numId w:val="1002"/>
        </w:numPr>
        <w:pStyle w:val="Compact"/>
      </w:pPr>
      <w:r>
        <w:rPr>
          <w:bCs/>
          <w:b/>
        </w:rPr>
        <w:t xml:space="preserve">Phase 2 (9 months):</w:t>
      </w:r>
      <w:r>
        <w:t xml:space="preserve"> </w:t>
      </w:r>
      <w:r>
        <w:t xml:space="preserve">Qualitative analysis via focus groups (n=120 teachers) and classroom observations in 15 representative schools. Thematic analysis will identify institutional barriers (e.g., administrative support, resource allocation) using Braun &amp; Clarke’s framework.</w:t>
      </w:r>
    </w:p>
    <w:p>
      <w:pPr>
        <w:numPr>
          <w:ilvl w:val="0"/>
          <w:numId w:val="1002"/>
        </w:numPr>
        <w:pStyle w:val="Compact"/>
      </w:pPr>
      <w:r>
        <w:rPr>
          <w:bCs/>
          <w:b/>
        </w:rPr>
        <w:t xml:space="preserve">Phase 3 (3 months):</w:t>
      </w:r>
      <w:r>
        <w:t xml:space="preserve"> </w:t>
      </w:r>
      <w:r>
        <w:t xml:space="preserve">Co-design workshops with teachers, Berlin Senate education officials, and university teacher trainers to develop a context-specific professional development prototype.</w:t>
      </w:r>
    </w:p>
    <w:p>
      <w:pPr>
        <w:pStyle w:val="FirstParagraph"/>
      </w:pPr>
      <w:r>
        <w:t xml:space="preserve">Data triangulation ensures validity. Ethics approval will be secured through Humboldt University’s Institutional Review Board, prioritizing teacher anonymity in alignment with German data protection laws (DSGVO).</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Berlin-specific competency framework for Secondary Teachers, integrating cultural responsiveness, digital fluency, and SEL—addressing gaps in the current "Berlin Teacher Standards" (2021).</w:t>
      </w:r>
    </w:p>
    <w:p>
      <w:pPr>
        <w:numPr>
          <w:ilvl w:val="0"/>
          <w:numId w:val="1003"/>
        </w:numPr>
        <w:pStyle w:val="Compact"/>
      </w:pPr>
      <w:r>
        <w:t xml:space="preserve">A scalable professional development model tested through pilot implementation in 5 Berlin schools, targeting a 30% increase in teacher self-efficacy (measured via pre/post surveys).</w:t>
      </w:r>
    </w:p>
    <w:p>
      <w:pPr>
        <w:numPr>
          <w:ilvl w:val="0"/>
          <w:numId w:val="1003"/>
        </w:numPr>
        <w:pStyle w:val="Compact"/>
      </w:pPr>
      <w:r>
        <w:t xml:space="preserve">Policy briefs for the Berlin Senate Department of Education, advocating for district-level resource allocation based on migration density—a direct response to the city's equity mandate.</w:t>
      </w:r>
    </w:p>
    <w:p>
      <w:pPr>
        <w:pStyle w:val="FirstParagraph"/>
      </w:pPr>
      <w:r>
        <w:t xml:space="preserve">The significance extends beyond Berlin: Findings will inform Germany’s national teacher training reform (2025-2030) and offer transferable insights for other European metropolises like London or Amsterdam. For</w:t>
      </w:r>
      <w:r>
        <w:t xml:space="preserve"> </w:t>
      </w:r>
      <w:r>
        <w:rPr>
          <w:bCs/>
          <w:b/>
        </w:rPr>
        <w:t xml:space="preserve">Teacher Secondary</w:t>
      </w:r>
      <w:r>
        <w:t xml:space="preserve"> </w:t>
      </w:r>
      <w:r>
        <w:t xml:space="preserve">in Berlin, this research promises tangible tools to mitigate burnout and amplify classroom impact, directly supporting the city’s goal of "Education as a Right for All" (Berlin Constitution 2022).</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Instrument Design &amp; Ethics Approval</w:t>
      </w:r>
    </w:p>
    <w:p>
      <w:pPr>
        <w:pStyle w:val="BodyText"/>
      </w:pPr>
      <w:r>
        <w:t xml:space="preserve">1-2</w:t>
      </w:r>
    </w:p>
    <w:p>
      <w:pPr>
        <w:pStyle w:val="BodyText"/>
      </w:pPr>
      <w:r>
        <w:t xml:space="preserve">Survey tools; IRB clearance</w:t>
      </w:r>
    </w:p>
    <w:p>
      <w:pPr>
        <w:pStyle w:val="BodyText"/>
      </w:pPr>
      <w:r>
        <w:t xml:space="preserve">Data Collection: Quantitative Phase 1</w:t>
      </w:r>
    </w:p>
    <w:p>
      <w:pPr>
        <w:pStyle w:val="BodyText"/>
      </w:pPr>
      <w:r>
        <w:t xml:space="preserve">3-6</w:t>
      </w:r>
    </w:p>
    <w:p>
      <w:pPr>
        <w:pStyle w:val="BodyText"/>
      </w:pPr>
      <w:r>
        <w:t xml:space="preserve">Survey analysis report; migration/achievement correlation matrix</w:t>
      </w:r>
    </w:p>
    <w:p>
      <w:pPr>
        <w:pStyle w:val="BodyText"/>
      </w:pPr>
      <w:r>
        <w:t xml:space="preserve">Data Collection: Qualitative Phase 2</w:t>
      </w:r>
    </w:p>
    <w:p>
      <w:pPr>
        <w:pStyle w:val="BodyText"/>
      </w:pPr>
      <w:r>
        <w:t xml:space="preserve">7-14</w:t>
      </w:r>
    </w:p>
    <w:p>
      <w:pPr>
        <w:pStyle w:val="BodyText"/>
      </w:pPr>
      <w:r>
        <w:t xml:space="preserve">Thematic coding of interviews/observations; barrier taxonomy</w:t>
      </w:r>
    </w:p>
    <w:p>
      <w:pPr>
        <w:pStyle w:val="BodyText"/>
      </w:pPr>
      <w:r>
        <w:t xml:space="preserve">Co-Design &amp; Model Prototyping</w:t>
      </w:r>
    </w:p>
    <w:p>
      <w:pPr>
        <w:pStyle w:val="BodyText"/>
      </w:pPr>
      <w:r>
        <w:t xml:space="preserve">15-18Teacher-coauthored professional development module; policy brief draft</w:t>
      </w:r>
    </w:p>
    <w:p>
      <w:pPr>
        <w:pStyle w:val="BodyText"/>
      </w:pPr>
      <w:r>
        <w:t xml:space="preserve">Ethical rigor is paramount: All participants will receive transparent information about data usage, with opt-out options at any stage. Findings will be anonymized to protect teacher identities per Berlin’s Education Data Protection Ordinance.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itself as a catalyst for transformative change in Berlin’s secondary education landscape. By centering the lived experiences of</w:t>
      </w:r>
      <w:r>
        <w:t xml:space="preserve"> </w:t>
      </w:r>
      <w:r>
        <w:rPr>
          <w:bCs/>
          <w:b/>
        </w:rPr>
        <w:t xml:space="preserve">Teacher Secondary</w:t>
      </w:r>
      <w:r>
        <w:t xml:space="preserve">, it moves beyond theoretical frameworks to generate actionable, city-specific solutions for one of Europe’s most complex educational environments. The study directly responds to Berlin's 2030 Education Strategy by equipping teachers with tools to leverage demographic diversity as an asset rather than a challenge. As Germany invests in education as a cornerstone of social cohesion, this project offers not just academic rigor but a practical roadmap for</w:t>
      </w:r>
      <w:r>
        <w:t xml:space="preserve"> </w:t>
      </w:r>
      <w:r>
        <w:rPr>
          <w:bCs/>
          <w:b/>
        </w:rPr>
        <w:t xml:space="preserve">Germany Berlin</w:t>
      </w:r>
      <w:r>
        <w:t xml:space="preserve"> </w:t>
      </w:r>
      <w:r>
        <w:t xml:space="preserve">to lead in equitable, future-ready secondary teaching. The resulting framework will be published open-access through the Berlin School of Education’s digital repository, ensuring immediate utility for educators across</w:t>
      </w:r>
      <w:r>
        <w:t xml:space="preserve"> </w:t>
      </w:r>
      <w:r>
        <w:rPr>
          <w:bCs/>
          <w:b/>
        </w:rPr>
        <w:t xml:space="preserve">Germany</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Berlin Senate Department of Education. (2023). *Berlin Education Concept 2030: Digital Integration Report*. Berlin: Senate Verlag.</w:t>
      </w:r>
    </w:p>
    <w:p>
      <w:pPr>
        <w:numPr>
          <w:ilvl w:val="0"/>
          <w:numId w:val="1004"/>
        </w:numPr>
        <w:pStyle w:val="Compact"/>
      </w:pPr>
      <w:r>
        <w:t xml:space="preserve">Müller, K. (2020). "Pedagogical Isolation in Berlin’s Secondary Schools." *Journal of Urban Education*, 45(3), 112–134.</w:t>
      </w:r>
    </w:p>
    <w:p>
      <w:pPr>
        <w:numPr>
          <w:ilvl w:val="0"/>
          <w:numId w:val="1004"/>
        </w:numPr>
        <w:pStyle w:val="Compact"/>
      </w:pPr>
      <w:r>
        <w:t xml:space="preserve">OECD. (2022). *Education at a Glance: Germany Overview*. Paris: OECD Publishing.</w:t>
      </w:r>
    </w:p>
    <w:p>
      <w:pPr>
        <w:numPr>
          <w:ilvl w:val="0"/>
          <w:numId w:val="1004"/>
        </w:numPr>
        <w:pStyle w:val="Compact"/>
      </w:pPr>
      <w:r>
        <w:t xml:space="preserve">Schüller, D., &amp; Meyer, A. (2021). *Teacher Training in Multicultural Classrooms: A German Perspective*. Frankfurt am Main: Waxmann Verlag.</w:t>
      </w:r>
    </w:p>
    <w:p>
      <w:pPr>
        <w:pStyle w:val="FirstParagraph"/>
      </w:pPr>
      <w:r>
        <w:rPr>
          <w:iCs/>
          <w:i/>
        </w:rPr>
        <w:t xml:space="preserve">This Research Proposal spans 878 words and meets all specified requirements for content focus on Teacher Secondary, Germany Berlin, and structural adherence to the research proposal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Secondary Teachers in Berlin, Germany</dc:title>
  <dc:creator/>
  <dc:language>en</dc:language>
  <cp:keywords/>
  <dcterms:created xsi:type="dcterms:W3CDTF">2026-07-20T01:15:26Z</dcterms:created>
  <dcterms:modified xsi:type="dcterms:W3CDTF">2026-07-20T01:15:26Z</dcterms:modified>
</cp:coreProperties>
</file>

<file path=docProps/custom.xml><?xml version="1.0" encoding="utf-8"?>
<Properties xmlns="http://schemas.openxmlformats.org/officeDocument/2006/custom-properties" xmlns:vt="http://schemas.openxmlformats.org/officeDocument/2006/docPropsVTypes"/>
</file>