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Effectiveness</w:t>
      </w:r>
      <w:r>
        <w:t xml:space="preserve"> </w:t>
      </w:r>
      <w:r>
        <w:t xml:space="preserve">at</w:t>
      </w:r>
      <w:r>
        <w:t xml:space="preserve"> </w:t>
      </w:r>
      <w:r>
        <w:t xml:space="preserve">Secondary</w:t>
      </w:r>
      <w:r>
        <w:t xml:space="preserve"> </w:t>
      </w:r>
      <w:r>
        <w:t xml:space="preserve">Level</w:t>
      </w:r>
      <w:r>
        <w:t xml:space="preserve"> </w:t>
      </w:r>
      <w:r>
        <w:t xml:space="preserve">in</w:t>
      </w:r>
      <w:r>
        <w:t xml:space="preserve"> </w:t>
      </w:r>
      <w:r>
        <w:t xml:space="preserve">Tehran,</w:t>
      </w:r>
      <w:r>
        <w:t xml:space="preserve"> </w:t>
      </w:r>
      <w:r>
        <w:t xml:space="preserve">Iran</w:t>
      </w:r>
    </w:p>
    <w:bookmarkStart w:id="33" w:name="X9c9a45ba59231082fd5d51ec454e6f377ccc088"/>
    <w:p>
      <w:pPr>
        <w:pStyle w:val="Heading1"/>
      </w:pPr>
      <w:r>
        <w:t xml:space="preserve">Research Proposal: Addressing Professional Development and Retention Challenges for Secondary School Teachers in Tehran, Iran</w:t>
      </w:r>
    </w:p>
    <w:bookmarkStart w:id="20" w:name="abstract"/>
    <w:p>
      <w:pPr>
        <w:pStyle w:val="Heading2"/>
      </w:pPr>
      <w:r>
        <w:t xml:space="preserve">Abstract</w:t>
      </w:r>
    </w:p>
    <w:p>
      <w:pPr>
        <w:pStyle w:val="FirstParagraph"/>
      </w:pPr>
      <w:r>
        <w:t xml:space="preserve">This research proposal outlines a comprehensive study to investigate the professional development needs, job satisfaction levels, and retention challenges faced by secondary school teachers across Tehran, Iran. With Iran's Ministry of Education prioritizing educational quality enhancement through its 2018 National Education Reform Plan and Tehran serving as the nation's educational hub with over 500 secondary schools and a student population exceeding 2 million, understanding the specific dynamics influencing</w:t>
      </w:r>
      <w:r>
        <w:t xml:space="preserve"> </w:t>
      </w:r>
      <w:r>
        <w:rPr>
          <w:bCs/>
          <w:b/>
        </w:rPr>
        <w:t xml:space="preserve">Teacher Secondary</w:t>
      </w:r>
      <w:r>
        <w:t xml:space="preserve"> </w:t>
      </w:r>
      <w:r>
        <w:t xml:space="preserve">performance is critical. This mixed-methods study will employ surveys, focus group discussions, and policy analysis to generate actionable insights for improving teacher efficacy in Iran's most populous urban center.</w:t>
      </w:r>
    </w:p>
    <w:bookmarkEnd w:id="20"/>
    <w:bookmarkStart w:id="21" w:name="X058400c80f2c4833a746b032b85252649da60ee"/>
    <w:p>
      <w:pPr>
        <w:pStyle w:val="Heading2"/>
      </w:pPr>
      <w:r>
        <w:t xml:space="preserve">1. Introduction: Contextualizing Teacher Secondary in Iran Tehran</w:t>
      </w:r>
    </w:p>
    <w:p>
      <w:pPr>
        <w:pStyle w:val="FirstParagraph"/>
      </w:pPr>
      <w:r>
        <w:t xml:space="preserve">Iran’s educational landscape has undergone significant transformation since the Islamic Revolution, with secondary education (grades 10-12) forming a pivotal stage for student academic and career development. In Tehran, as the capital city housing approximately 40% of Iran's tertiary-educated population and numerous prestigious national schools, the pressure on</w:t>
      </w:r>
      <w:r>
        <w:t xml:space="preserve"> </w:t>
      </w:r>
      <w:r>
        <w:rPr>
          <w:bCs/>
          <w:b/>
        </w:rPr>
        <w:t xml:space="preserve">Teacher Secondary</w:t>
      </w:r>
      <w:r>
        <w:t xml:space="preserve"> </w:t>
      </w:r>
      <w:r>
        <w:t xml:space="preserve">to deliver quality instruction aligned with national curricular standards is immense. Recent Ministry of Education reports indicate a 22% increase in secondary school enrollment in Tehran between 2019-2023, yet teacher vacancies persist across key disciplines such as mathematics, physics, and English. This study directly addresses the urgent need to strengthen the professional capacity of</w:t>
      </w:r>
      <w:r>
        <w:t xml:space="preserve"> </w:t>
      </w:r>
      <w:r>
        <w:rPr>
          <w:bCs/>
          <w:b/>
        </w:rPr>
        <w:t xml:space="preserve">Teacher Secondary</w:t>
      </w:r>
      <w:r>
        <w:t xml:space="preserve"> </w:t>
      </w:r>
      <w:r>
        <w:t xml:space="preserve">within Iran's socio-cultural context.</w:t>
      </w:r>
    </w:p>
    <w:bookmarkEnd w:id="21"/>
    <w:bookmarkStart w:id="22" w:name="X7b042b43c289d9ebfc52171679739fa4a75a321"/>
    <w:p>
      <w:pPr>
        <w:pStyle w:val="Heading2"/>
      </w:pPr>
      <w:r>
        <w:t xml:space="preserve">2. Literature Review: Gaps in Tehran-Specific Research</w:t>
      </w:r>
    </w:p>
    <w:p>
      <w:pPr>
        <w:pStyle w:val="FirstParagraph"/>
      </w:pPr>
      <w:r>
        <w:t xml:space="preserve">National studies (e.g., MoE, 2021; Ahmadi &amp; Karimi, 2020) have documented broad teacher challenges in Iran but lack granular analysis of Tehran's urban secondary environment. Existing research focuses predominantly on rural areas or elementary education, neglecting Tehran’s unique pressures: high-stakes national exams (Konkur), socio-economic diversity across districts (e.g., affluent Shemiran vs. under-resourced Shahr-e Rey), and rapid technological integration in classrooms. Crucially, no recent study has examined how Iran’s 2018 curriculum reforms specifically impact secondary teachers’ pedagogical practices in Tehran’s heterogeneous schools. This research fills that gap by centering</w:t>
      </w:r>
      <w:r>
        <w:t xml:space="preserve"> </w:t>
      </w:r>
      <w:r>
        <w:rPr>
          <w:bCs/>
          <w:b/>
        </w:rPr>
        <w:t xml:space="preserve">Teacher Secondary</w:t>
      </w:r>
      <w:r>
        <w:t xml:space="preserve"> </w:t>
      </w:r>
      <w:r>
        <w:t xml:space="preserve">as the core subject within Tehran's educational ecosystem.</w:t>
      </w:r>
    </w:p>
    <w:bookmarkEnd w:id="22"/>
    <w:bookmarkStart w:id="23" w:name="research-objectives"/>
    <w:p>
      <w:pPr>
        <w:pStyle w:val="Heading2"/>
      </w:pPr>
      <w:r>
        <w:t xml:space="preserve">3. Research Objectives</w:t>
      </w:r>
    </w:p>
    <w:p>
      <w:pPr>
        <w:numPr>
          <w:ilvl w:val="0"/>
          <w:numId w:val="1001"/>
        </w:numPr>
        <w:pStyle w:val="Compact"/>
      </w:pPr>
      <w:r>
        <w:t xml:space="preserve">To assess current professional development opportunities and perceived skill gaps among secondary teachers in Tehran schools.</w:t>
      </w:r>
    </w:p>
    <w:p>
      <w:pPr>
        <w:numPr>
          <w:ilvl w:val="0"/>
          <w:numId w:val="1001"/>
        </w:numPr>
        <w:pStyle w:val="Compact"/>
      </w:pPr>
      <w:r>
        <w:t xml:space="preserve">To analyze correlations between job satisfaction, workload, and teacher retention rates across Tehran's administrative districts.</w:t>
      </w:r>
    </w:p>
    <w:p>
      <w:pPr>
        <w:numPr>
          <w:ilvl w:val="0"/>
          <w:numId w:val="1001"/>
        </w:numPr>
        <w:pStyle w:val="Compact"/>
      </w:pPr>
      <w:r>
        <w:t xml:space="preserve">To evaluate the effectiveness of Iran's existing teacher support mechanisms (e.g., National Teacher Training Center programs) in the Tehran context.</w:t>
      </w:r>
    </w:p>
    <w:p>
      <w:pPr>
        <w:numPr>
          <w:ilvl w:val="0"/>
          <w:numId w:val="1001"/>
        </w:numPr>
        <w:pStyle w:val="Compact"/>
      </w:pPr>
      <w:r>
        <w:t xml:space="preserve">To co-design evidence-based recommendations for enhancing secondary teacher capacity with Tehran Ministry of Education stakeholders.</w:t>
      </w:r>
    </w:p>
    <w:bookmarkEnd w:id="23"/>
    <w:bookmarkStart w:id="27" w:name="X448f536cd8cccbe724b16eb99dd8fa9de4117c3"/>
    <w:p>
      <w:pPr>
        <w:pStyle w:val="Heading2"/>
      </w:pPr>
      <w:r>
        <w:t xml:space="preserve">4. Methodology: Mixed-Methods Approach for Tehran Context</w:t>
      </w:r>
    </w:p>
    <w:p>
      <w:pPr>
        <w:pStyle w:val="FirstParagraph"/>
      </w:pPr>
      <w:r>
        <w:t xml:space="preserve">This 18-month study employs a sequential mixed-methods design tailored to Iran's educational infrastructure:</w:t>
      </w:r>
    </w:p>
    <w:bookmarkStart w:id="24" w:name="phase-1-quantitative-survey-months-1-5"/>
    <w:p>
      <w:pPr>
        <w:pStyle w:val="Heading3"/>
      </w:pPr>
      <w:r>
        <w:t xml:space="preserve">Phase 1: Quantitative Survey (Months 1-5)</w:t>
      </w:r>
    </w:p>
    <w:p>
      <w:pPr>
        <w:pStyle w:val="FirstParagraph"/>
      </w:pPr>
      <w:r>
        <w:t xml:space="preserve">A stratified random sample of 400 secondary teachers from Tehran's 25 districts will complete an online survey (translated into Persian) measuring: job satisfaction, perceived support, technology integration capacity, and stress levels. The survey instrument draws on validated scales (e.g., Teacher Stress Inventory; Schaufeli et al., 2009) adapted for Iran's context.</w:t>
      </w:r>
    </w:p>
    <w:bookmarkEnd w:id="24"/>
    <w:bookmarkStart w:id="25" w:name="Xb6f369c478b79a320c6fa3f1439e774b91db033"/>
    <w:p>
      <w:pPr>
        <w:pStyle w:val="Heading3"/>
      </w:pPr>
      <w:r>
        <w:t xml:space="preserve">Phase 2: Qualitative Immersion (Months 6-14)</w:t>
      </w:r>
    </w:p>
    <w:p>
      <w:pPr>
        <w:pStyle w:val="FirstParagraph"/>
      </w:pPr>
      <w:r>
        <w:t xml:space="preserve">Conduct semi-structured interviews with 45 teachers representing diverse schools (public, private, all-girls, mixed-gender) and focus groups with school administrators across Tehran. Questions will explore challenges in implementing Iran's national curriculum reforms and contextual barriers to effective pedagogy at the secondary level.</w:t>
      </w:r>
    </w:p>
    <w:bookmarkEnd w:id="25"/>
    <w:bookmarkStart w:id="26" w:name="Xe9e0a150e336dbd4a4c59710ebb14b7810b9bb1"/>
    <w:p>
      <w:pPr>
        <w:pStyle w:val="Heading3"/>
      </w:pPr>
      <w:r>
        <w:t xml:space="preserve">Phase 3: Policy Analysis &amp; Co-Design (Months 15-18)</w:t>
      </w:r>
    </w:p>
    <w:p>
      <w:pPr>
        <w:pStyle w:val="FirstParagraph"/>
      </w:pPr>
      <w:r>
        <w:t xml:space="preserve">Collaborate with Tehran’s Provincial Education Office to analyze existing teacher support policies. A final workshop will present findings and jointly develop a framework for targeted professional development programs responsive to the realities of</w:t>
      </w:r>
      <w:r>
        <w:t xml:space="preserve"> </w:t>
      </w:r>
      <w:r>
        <w:rPr>
          <w:bCs/>
          <w:b/>
        </w:rPr>
        <w:t xml:space="preserve">Teacher Secondary</w:t>
      </w:r>
      <w:r>
        <w:t xml:space="preserve"> </w:t>
      </w:r>
      <w:r>
        <w:t xml:space="preserve">in Iran Tehran.</w:t>
      </w:r>
    </w:p>
    <w:bookmarkEnd w:id="26"/>
    <w:bookmarkEnd w:id="27"/>
    <w:bookmarkStart w:id="28" w:name="X9be468685adc76fe164fed950e8cda31d48ff03"/>
    <w:p>
      <w:pPr>
        <w:pStyle w:val="Heading2"/>
      </w:pPr>
      <w:r>
        <w:t xml:space="preserve">5. Significance &amp; Expected Impact on Teacher Secondary in Iran Tehran</w:t>
      </w:r>
    </w:p>
    <w:p>
      <w:pPr>
        <w:pStyle w:val="FirstParagraph"/>
      </w:pPr>
      <w:r>
        <w:t xml:space="preserve">This research holds transformative potential for Iran's education system. By generating district-specific data on secondary teaching challenges, it directly informs the Tehran Ministry of Education’s strategic planning, particularly regarding resource allocation for teacher training. Findings will address two critical gaps: (1) bridging the theory-practice divide in how national reforms are implemented at classroom level in Tehran, and (2) developing retention strategies for Iran's most experienced</w:t>
      </w:r>
      <w:r>
        <w:t xml:space="preserve"> </w:t>
      </w:r>
      <w:r>
        <w:rPr>
          <w:bCs/>
          <w:b/>
        </w:rPr>
        <w:t xml:space="preserve">Teacher Secondary</w:t>
      </w:r>
      <w:r>
        <w:t xml:space="preserve">. The proposed co-design approach ensures solutions are culturally grounded, increasing adoption likelihood. Furthermore, this study positions Tehran as a model for addressing secondary teacher challenges across urban Iran.</w:t>
      </w:r>
    </w:p>
    <w:bookmarkEnd w:id="28"/>
    <w:bookmarkStart w:id="29" w:name="X8717ecf85115ee227ead17385d2e60b4095e406"/>
    <w:p>
      <w:pPr>
        <w:pStyle w:val="Heading2"/>
      </w:pPr>
      <w:r>
        <w:t xml:space="preserve">6. Ethical Considerations &amp; Cultural Sensitivity</w:t>
      </w:r>
    </w:p>
    <w:p>
      <w:pPr>
        <w:pStyle w:val="FirstParagraph"/>
      </w:pPr>
      <w:r>
        <w:t xml:space="preserve">All participants will provide informed consent in Persian. Data will be anonymized per Iranian National Ethics Guidelines for Social Research (Ministry of Health, 2019). Special attention will be paid to gender dynamics in Tehran's educational culture, with female researchers conducting interviews in girls' schools. Collaboration with Tehran University of Education ensures methodological alignment with Iran’s academic standards.</w:t>
      </w:r>
    </w:p>
    <w:bookmarkEnd w:id="29"/>
    <w:bookmarkStart w:id="30" w:name="timeline-budget-overview"/>
    <w:p>
      <w:pPr>
        <w:pStyle w:val="Heading2"/>
      </w:pPr>
      <w:r>
        <w:t xml:space="preserve">7.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(USD)</w:t>
            </w:r>
          </w:p>
        </w:tc>
      </w:tr>
      <w:tr>
        <w:tc>
          <w:tcPr/>
          <w:p>
            <w:pPr>
              <w:pStyle w:val="Compact"/>
              <w:jc w:val="left"/>
            </w:pPr>
            <w:r>
              <w:t xml:space="preserve">Survey Design &amp; Ethics Approval</w:t>
            </w:r>
          </w:p>
        </w:tc>
        <w:tc>
          <w:tcPr/>
          <w:p>
            <w:pPr>
              <w:pStyle w:val="Compact"/>
              <w:jc w:val="left"/>
            </w:pPr>
            <w:r>
              <w:t xml:space="preserve">Month 1-2</w:t>
            </w:r>
          </w:p>
        </w:tc>
        <w:tc>
          <w:tcPr/>
          <w:p>
            <w:pPr>
              <w:pStyle w:val="Compact"/>
              <w:jc w:val="left"/>
            </w:pPr>
            <w:r>
              <w:t xml:space="preserve">$3,500</w:t>
            </w:r>
          </w:p>
        </w:tc>
      </w:tr>
      <w:tr>
        <w:tc>
          <w:tcPr/>
          <w:p>
            <w:pPr>
              <w:pStyle w:val="Compact"/>
              <w:jc w:val="left"/>
            </w:pPr>
            <w:r>
              <w:t xml:space="preserve">Data Collection (Survey + Interviews)</w:t>
            </w:r>
          </w:p>
        </w:tc>
        <w:tc>
          <w:tcPr/>
          <w:p>
            <w:pPr>
              <w:pStyle w:val="Compact"/>
              <w:jc w:val="left"/>
            </w:pPr>
            <w:r>
              <w:t xml:space="preserve">Months 3-14</w:t>
            </w:r>
          </w:p>
        </w:tc>
        <w:tc>
          <w:tcPr/>
          <w:p>
            <w:pPr>
              <w:pStyle w:val="Compact"/>
              <w:jc w:val="left"/>
            </w:pPr>
            <w:r>
              <w:t xml:space="preserve">$18,200</w:t>
            </w:r>
          </w:p>
        </w:tc>
      </w:tr>
      <w:tr>
        <w:tc>
          <w:tcPr/>
          <w:p>
            <w:pPr>
              <w:pStyle w:val="Compact"/>
              <w:jc w:val="left"/>
            </w:pPr>
            <w:r>
              <w:t xml:space="preserve">Data Analysis &amp; Report Writing</w:t>
            </w:r>
          </w:p>
        </w:tc>
        <w:tc>
          <w:tcPr/>
          <w:p>
            <w:pPr>
              <w:pStyle w:val="Compact"/>
              <w:jc w:val="left"/>
            </w:pPr>
            <w:r>
              <w:t xml:space="preserve">Months 15-17</w:t>
            </w:r>
          </w:p>
        </w:tc>
        <w:tc>
          <w:tcPr/>
          <w:p>
            <w:pPr>
              <w:pStyle w:val="Compact"/>
              <w:jc w:val="left"/>
            </w:pPr>
            <w:r>
              <w:t xml:space="preserve">$6,300</w:t>
            </w:r>
          </w:p>
        </w:tc>
      </w:tr>
      <w:tr>
        <w:tc>
          <w:tcPr/>
          <w:p>
            <w:pPr>
              <w:pStyle w:val="Compact"/>
              <w:jc w:val="left"/>
            </w:pPr>
            <w:r>
              <w:t xml:space="preserve">Stakeholder Workshops &amp; Dissemination</w:t>
            </w:r>
          </w:p>
        </w:tc>
        <w:tc>
          <w:tcPr/>
          <w:p>
            <w:pPr>
              <w:pStyle w:val="Compact"/>
              <w:jc w:val="left"/>
            </w:pPr>
            <w:r>
              <w:t xml:space="preserve">Month 18</w:t>
            </w:r>
          </w:p>
        </w:tc>
        <w:tc>
          <w:tcPr/>
          <w:p>
            <w:pPr>
              <w:pStyle w:val="Compact"/>
              <w:jc w:val="left"/>
            </w:pPr>
            <w:r>
              <w:t xml:space="preserve">$2,500</w:t>
            </w:r>
          </w:p>
        </w:tc>
      </w:tr>
    </w:tbl>
    <w:bookmarkEnd w:id="30"/>
    <w:bookmarkStart w:id="31" w:name="X74aad7cb5ff91743c64dea2ecea1a77ab294a9a"/>
    <w:p>
      <w:pPr>
        <w:pStyle w:val="Heading2"/>
      </w:pPr>
      <w:r>
        <w:t xml:space="preserve">8. Conclusion: A Pathway for Teacher Secondary Excellence in Tehran</w:t>
      </w:r>
    </w:p>
    <w:p>
      <w:pPr>
        <w:pStyle w:val="FirstParagraph"/>
      </w:pPr>
      <w:r>
        <w:t xml:space="preserve">The success of Iran's educational ambitions hinges on the capacity and motivation of its secondary educators. This research directly tackles the systemic challenges facing</w:t>
      </w:r>
      <w:r>
        <w:t xml:space="preserve"> </w:t>
      </w:r>
      <w:r>
        <w:rPr>
          <w:bCs/>
          <w:b/>
        </w:rPr>
        <w:t xml:space="preserve">Teacher Secondary</w:t>
      </w:r>
      <w:r>
        <w:t xml:space="preserve"> </w:t>
      </w:r>
      <w:r>
        <w:t xml:space="preserve">within Tehran’s complex urban environment, moving beyond generic assessments to deliver context-specific solutions. By centering Tehran as a microcosm of Iran’s broader educational aspirations, this proposal promises not only improved teacher outcomes in the capital but also scalable models for secondary education nationwide. We seek endorsement from Iran's Ministry of Education and Tehran Provincial Education Office to implement this vital study, ensuring that</w:t>
      </w:r>
      <w:r>
        <w:t xml:space="preserve"> </w:t>
      </w:r>
      <w:r>
        <w:rPr>
          <w:bCs/>
          <w:b/>
        </w:rPr>
        <w:t xml:space="preserve">Teacher Secondary</w:t>
      </w:r>
      <w:r>
        <w:t xml:space="preserve"> </w:t>
      </w:r>
      <w:r>
        <w:t xml:space="preserve">remains the cornerstone of educational excellence across Iran.</w:t>
      </w:r>
    </w:p>
    <w:bookmarkEnd w:id="31"/>
    <w:bookmarkStart w:id="32" w:name="references-selected"/>
    <w:p>
      <w:pPr>
        <w:pStyle w:val="Heading2"/>
      </w:pPr>
      <w:r>
        <w:t xml:space="preserve">References (Selected)</w:t>
      </w:r>
    </w:p>
    <w:p>
      <w:pPr>
        <w:pStyle w:val="FirstParagraph"/>
      </w:pPr>
      <w:r>
        <w:t xml:space="preserve">Ahmadi, M., &amp; Karimi, N. (2020). Teacher Retention Strategies in Iranian Urban Schools. *Iranian Journal of Educational Research*, 15(3), 45-67.</w:t>
      </w:r>
    </w:p>
    <w:p>
      <w:pPr>
        <w:pStyle w:val="BodyText"/>
      </w:pPr>
      <w:r>
        <w:t xml:space="preserve">Ministry of Education, Iran. (2018). *National Education Reform Plan 2019-2024*. Tehran: MoE Publications.</w:t>
      </w:r>
    </w:p>
    <w:p>
      <w:pPr>
        <w:pStyle w:val="BodyText"/>
      </w:pPr>
      <w:r>
        <w:t xml:space="preserve">Schaufeli, W. B., et al. (2009). Burnout and Engagement in the Workplace: A Review of Multidimensional Theories and Measures. *Journal of Occupational Health Psychology*, 14(3), 316–329.</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Effectiveness at Secondary Level in Tehran, Iran</dc:title>
  <dc:creator/>
  <dc:language>en</dc:language>
  <cp:keywords/>
  <dcterms:created xsi:type="dcterms:W3CDTF">2026-07-19T14:01:16Z</dcterms:created>
  <dcterms:modified xsi:type="dcterms:W3CDTF">2026-07-19T14:01:16Z</dcterms:modified>
</cp:coreProperties>
</file>

<file path=docProps/custom.xml><?xml version="1.0" encoding="utf-8"?>
<Properties xmlns="http://schemas.openxmlformats.org/officeDocument/2006/custom-properties" xmlns:vt="http://schemas.openxmlformats.org/officeDocument/2006/docPropsVTypes"/>
</file>