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Capacity</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71eb12cc9800f75e145b4502f494155f9a8c575"/>
    <w:p>
      <w:pPr>
        <w:pStyle w:val="Heading1"/>
      </w:pPr>
      <w:r>
        <w:t xml:space="preserve">Research Proposal: Addressing Critical Challenges for Teacher Secondary in Ivory Coast Abidjan</w:t>
      </w:r>
    </w:p>
    <w:p>
      <w:pPr>
        <w:pStyle w:val="FirstParagraph"/>
      </w:pPr>
      <w:r>
        <w:rPr>
          <w:bCs/>
          <w:b/>
        </w:rPr>
        <w:t xml:space="preserve">Prepared for:</w:t>
      </w:r>
      <w:r>
        <w:t xml:space="preserve"> </w:t>
      </w:r>
      <w:r>
        <w:t xml:space="preserve">Ministry of National Education, Republic of Côte d'Ivoire &amp; University of Abidjan - L'Assomption</w:t>
      </w:r>
    </w:p>
    <w:p>
      <w:pPr>
        <w:pStyle w:val="BodyText"/>
      </w:pP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Research Proposal outlines a critical investigation into the professional development and working conditions of</w:t>
      </w:r>
      <w:r>
        <w:t xml:space="preserve"> </w:t>
      </w:r>
      <w:r>
        <w:rPr>
          <w:iCs/>
          <w:i/>
        </w:rPr>
        <w:t xml:space="preserve">Teacher Secondary</w:t>
      </w:r>
      <w:r>
        <w:t xml:space="preserve"> </w:t>
      </w:r>
      <w:r>
        <w:t xml:space="preserve">across public secondary institutions in Abidjan, Ivory Coast. With Abidjan housing over 40% of Côte d'Ivoire's secondary schools and serving as the nation's educational epicenter, this study directly addresses systemic gaps threatening educational quality. The research will identify actionable strategies to strengthen</w:t>
      </w:r>
      <w:r>
        <w:t xml:space="preserve"> </w:t>
      </w:r>
      <w:r>
        <w:rPr>
          <w:iCs/>
          <w:i/>
        </w:rPr>
        <w:t xml:space="preserve">Teacher Secondary</w:t>
      </w:r>
      <w:r>
        <w:t xml:space="preserve"> </w:t>
      </w:r>
      <w:r>
        <w:t xml:space="preserve">efficacy, thereby supporting national goals for equitable access to quality education in the</w:t>
      </w:r>
      <w:r>
        <w:t xml:space="preserve"> </w:t>
      </w:r>
      <w:r>
        <w:rPr>
          <w:iCs/>
          <w:i/>
        </w:rPr>
        <w:t xml:space="preserve">Ivory Coast Abidjan</w:t>
      </w:r>
      <w:r>
        <w:t xml:space="preserve"> </w:t>
      </w:r>
      <w:r>
        <w:t xml:space="preserve">context. Findings will inform policy interventions within the Ministry of National Education’s "Professionnalisation des Enseignants" initiative.</w:t>
      </w:r>
    </w:p>
    <w:bookmarkEnd w:id="20"/>
    <w:bookmarkStart w:id="21" w:name="ii.-introduction-background"/>
    <w:p>
      <w:pPr>
        <w:pStyle w:val="Heading2"/>
      </w:pPr>
      <w:r>
        <w:t xml:space="preserve">II. Introduction &amp; Background</w:t>
      </w:r>
    </w:p>
    <w:p>
      <w:pPr>
        <w:pStyle w:val="FirstParagraph"/>
      </w:pPr>
      <w:r>
        <w:t xml:space="preserve">Côte d'Ivoire's education system faces significant pressure as it strives to modernize its secondary curriculum (12-18 years) in alignment with the national "Vision 2030." Abidjan, as the country's economic and administrative capital, bears disproportionate responsibility for this transformation. However, persistent challenges—overcrowded classrooms (average 65:1 student-teacher ratio vs. recommended 40:1), inadequate pedagogical training for</w:t>
      </w:r>
      <w:r>
        <w:t xml:space="preserve"> </w:t>
      </w:r>
      <w:r>
        <w:rPr>
          <w:iCs/>
          <w:i/>
        </w:rPr>
        <w:t xml:space="preserve">Teacher Secondary</w:t>
      </w:r>
      <w:r>
        <w:t xml:space="preserve">, and high attrition rates—undermine educational outcomes. Recent UNESCO data indicates that only 58% of secondary students in Abidjan achieve minimum proficiency in core subjects, directly linking to teacher capacity gaps. This research zeroes in on the indispensable role of</w:t>
      </w:r>
      <w:r>
        <w:t xml:space="preserve"> </w:t>
      </w:r>
      <w:r>
        <w:rPr>
          <w:iCs/>
          <w:i/>
        </w:rPr>
        <w:t xml:space="preserve">Teacher Secondary</w:t>
      </w:r>
      <w:r>
        <w:t xml:space="preserve"> </w:t>
      </w:r>
      <w:r>
        <w:t xml:space="preserve">as the linchpin for improving learning environments and student success across</w:t>
      </w:r>
      <w:r>
        <w:t xml:space="preserve"> </w:t>
      </w:r>
      <w:r>
        <w:rPr>
          <w:iCs/>
          <w:i/>
        </w:rPr>
        <w:t xml:space="preserve">Ivory Coast Abidjan</w:t>
      </w:r>
      <w:r>
        <w:t xml:space="preserve">.</w:t>
      </w:r>
    </w:p>
    <w:bookmarkEnd w:id="21"/>
    <w:bookmarkStart w:id="22" w:name="iii.-problem-statement"/>
    <w:p>
      <w:pPr>
        <w:pStyle w:val="Heading2"/>
      </w:pPr>
      <w:r>
        <w:t xml:space="preserve">III. Problem Statement</w:t>
      </w:r>
    </w:p>
    <w:p>
      <w:pPr>
        <w:pStyle w:val="FirstParagraph"/>
      </w:pPr>
      <w:r>
        <w:t xml:space="preserve">The current crisis impacting secondary education in Abidjan manifests through three critical dimensions: (1) **Professional Preparedness**: Many</w:t>
      </w:r>
      <w:r>
        <w:t xml:space="preserve"> </w:t>
      </w:r>
      <w:r>
        <w:rPr>
          <w:iCs/>
          <w:i/>
        </w:rPr>
        <w:t xml:space="preserve">Teacher Secondary</w:t>
      </w:r>
      <w:r>
        <w:t xml:space="preserve"> </w:t>
      </w:r>
      <w:r>
        <w:t xml:space="preserve">lack specialized training in modern pedagogy, digital literacy, and subject-specific methodology; (2) **Work Environment**: Chronic underfunding leads to insufficient teaching materials, high workloads (&gt;25 hours/week), and limited access to continuous professional development; (3) **Retention**: 35% of new</w:t>
      </w:r>
      <w:r>
        <w:t xml:space="preserve"> </w:t>
      </w:r>
      <w:r>
        <w:rPr>
          <w:iCs/>
          <w:i/>
        </w:rPr>
        <w:t xml:space="preserve">Teacher Secondary</w:t>
      </w:r>
      <w:r>
        <w:t xml:space="preserve"> </w:t>
      </w:r>
      <w:r>
        <w:t xml:space="preserve">in Abidjan leave within five years due to poor support systems. These factors collectively contribute to a learning crisis where student dropout rates exceed national averages by 15% in urban secondary schools. Without targeted intervention for</w:t>
      </w:r>
      <w:r>
        <w:t xml:space="preserve"> </w:t>
      </w:r>
      <w:r>
        <w:rPr>
          <w:iCs/>
          <w:i/>
        </w:rPr>
        <w:t xml:space="preserve">Teacher Secondary</w:t>
      </w:r>
      <w:r>
        <w:t xml:space="preserve">, Côte d'Ivoire’s educational ambitions remain unattainable.</w:t>
      </w:r>
    </w:p>
    <w:bookmarkEnd w:id="22"/>
    <w:bookmarkStart w:id="23" w:name="X15c8e0c18726f1646b5d6ad82dbba964dab0316"/>
    <w:p>
      <w:pPr>
        <w:pStyle w:val="Heading2"/>
      </w:pPr>
      <w:r>
        <w:t xml:space="preserve">IV. Literature Review (Contextualized for Ivory Coast)</w:t>
      </w:r>
    </w:p>
    <w:p>
      <w:pPr>
        <w:pStyle w:val="FirstParagraph"/>
      </w:pPr>
      <w:r>
        <w:t xml:space="preserve">Existing studies on African secondary education often overlook localized contexts like Abidjan. While global frameworks emphasize teacher training, they rarely address the unique socio-economic constraints of Côte d'Ivoire's urban centers post-conflict. Recent Ivorian research by the Institut National de la Statistique (2022) confirms that 68% of</w:t>
      </w:r>
      <w:r>
        <w:t xml:space="preserve"> </w:t>
      </w:r>
      <w:r>
        <w:rPr>
          <w:iCs/>
          <w:i/>
        </w:rPr>
        <w:t xml:space="preserve">Teacher Secondary</w:t>
      </w:r>
      <w:r>
        <w:t xml:space="preserve"> </w:t>
      </w:r>
      <w:r>
        <w:t xml:space="preserve">in Abidjan have not undergone formal digital literacy training, despite government mandates for ICT integration. Similarly, a 2021 study by the University of Abidjan highlighted that teacher support networks are absent in 73% of schools, leading to professional isolation. This proposal bridges this gap by focusing exclusively on</w:t>
      </w:r>
      <w:r>
        <w:t xml:space="preserve"> </w:t>
      </w:r>
      <w:r>
        <w:rPr>
          <w:iCs/>
          <w:i/>
        </w:rPr>
        <w:t xml:space="preserve">Teacher Secondary</w:t>
      </w:r>
      <w:r>
        <w:t xml:space="preserve"> </w:t>
      </w:r>
      <w:r>
        <w:t xml:space="preserve">within the</w:t>
      </w:r>
      <w:r>
        <w:t xml:space="preserve"> </w:t>
      </w:r>
      <w:r>
        <w:rPr>
          <w:iCs/>
          <w:i/>
        </w:rPr>
        <w:t xml:space="preserve">Ivory Coast Abidjan</w:t>
      </w:r>
      <w:r>
        <w:t xml:space="preserve"> </w:t>
      </w:r>
      <w:r>
        <w:t xml:space="preserve">ecosystem, moving beyond generic analyses to actionable local solutions.</w:t>
      </w:r>
    </w:p>
    <w:bookmarkEnd w:id="23"/>
    <w:bookmarkStart w:id="24" w:name="v.-research-objectives"/>
    <w:p>
      <w:pPr>
        <w:pStyle w:val="Heading2"/>
      </w:pPr>
      <w:r>
        <w:t xml:space="preserve">V. Research Objectives</w:t>
      </w:r>
    </w:p>
    <w:p>
      <w:pPr>
        <w:numPr>
          <w:ilvl w:val="0"/>
          <w:numId w:val="1001"/>
        </w:numPr>
        <w:pStyle w:val="Compact"/>
      </w:pPr>
      <w:r>
        <w:t xml:space="preserve">To assess the current professional development needs of 500+ active</w:t>
      </w:r>
      <w:r>
        <w:t xml:space="preserve"> </w:t>
      </w:r>
      <w:r>
        <w:rPr>
          <w:iCs/>
          <w:i/>
        </w:rPr>
        <w:t xml:space="preserve">Teacher Secondary</w:t>
      </w:r>
      <w:r>
        <w:t xml:space="preserve"> </w:t>
      </w:r>
      <w:r>
        <w:t xml:space="preserve">across 30 public secondary schools in Abidjan.</w:t>
      </w:r>
    </w:p>
    <w:p>
      <w:pPr>
        <w:numPr>
          <w:ilvl w:val="0"/>
          <w:numId w:val="1001"/>
        </w:numPr>
        <w:pStyle w:val="Compact"/>
      </w:pPr>
      <w:r>
        <w:t xml:space="preserve">To evaluate the impact of existing administrative policies (e.g., "Plan d'Action National pour l'Enseignement Secondaire") on teacher retention and classroom efficacy in Abidjan.</w:t>
      </w:r>
    </w:p>
    <w:p>
      <w:pPr>
        <w:numPr>
          <w:ilvl w:val="0"/>
          <w:numId w:val="1001"/>
        </w:numPr>
        <w:pStyle w:val="Compact"/>
      </w:pPr>
      <w:r>
        <w:t xml:space="preserve">To co-design a scalable professional support framework specifically for</w:t>
      </w:r>
      <w:r>
        <w:t xml:space="preserve"> </w:t>
      </w:r>
      <w:r>
        <w:rPr>
          <w:iCs/>
          <w:i/>
        </w:rPr>
        <w:t xml:space="preserve">Teacher Secondary</w:t>
      </w:r>
      <w:r>
        <w:t xml:space="preserve"> </w:t>
      </w:r>
      <w:r>
        <w:t xml:space="preserve">with input from educators, school administrators, and Ministry stakeholders in Abidjan.</w:t>
      </w:r>
    </w:p>
    <w:bookmarkEnd w:id="24"/>
    <w:bookmarkStart w:id="25" w:name="vi.-methodology"/>
    <w:p>
      <w:pPr>
        <w:pStyle w:val="Heading2"/>
      </w:pPr>
      <w:r>
        <w:t xml:space="preserve">VI.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(4 months):</w:t>
      </w:r>
      <w:r>
        <w:t xml:space="preserve"> </w:t>
      </w:r>
      <w:r>
        <w:t xml:space="preserve">Quantitative survey of 500+ current</w:t>
      </w:r>
      <w:r>
        <w:t xml:space="preserve"> </w:t>
      </w:r>
      <w:r>
        <w:rPr>
          <w:iCs/>
          <w:i/>
        </w:rPr>
        <w:t xml:space="preserve">Teacher Secondary</w:t>
      </w:r>
      <w:r>
        <w:t xml:space="preserve"> </w:t>
      </w:r>
      <w:r>
        <w:t xml:space="preserve">across Abidjan’s administrative districts (Cocody, Abobo, Plateau). Metrics include workload hours, training access, student outcomes data.</w:t>
      </w:r>
    </w:p>
    <w:p>
      <w:pPr>
        <w:numPr>
          <w:ilvl w:val="0"/>
          <w:numId w:val="1002"/>
        </w:numPr>
        <w:pStyle w:val="Compact"/>
      </w:pPr>
      <w:r>
        <w:rPr>
          <w:bCs/>
          <w:b/>
        </w:rPr>
        <w:t xml:space="preserve">Phase 2 (6 months):</w:t>
      </w:r>
      <w:r>
        <w:t xml:space="preserve"> </w:t>
      </w:r>
      <w:r>
        <w:t xml:space="preserve">Qualitative focus groups with 60 teachers stratified by experience level and school location. Interviews will explore barriers to effective teaching in the</w:t>
      </w:r>
      <w:r>
        <w:t xml:space="preserve"> </w:t>
      </w:r>
      <w:r>
        <w:rPr>
          <w:iCs/>
          <w:i/>
        </w:rPr>
        <w:t xml:space="preserve">Ivory Coast Abidjan</w:t>
      </w:r>
      <w:r>
        <w:t xml:space="preserve"> </w:t>
      </w:r>
      <w:r>
        <w:t xml:space="preserve">context.</w:t>
      </w:r>
    </w:p>
    <w:p>
      <w:pPr>
        <w:numPr>
          <w:ilvl w:val="0"/>
          <w:numId w:val="1002"/>
        </w:numPr>
        <w:pStyle w:val="Compact"/>
      </w:pPr>
      <w:r>
        <w:rPr>
          <w:bCs/>
          <w:b/>
        </w:rPr>
        <w:t xml:space="preserve">Phase 3 (8 months):</w:t>
      </w:r>
      <w:r>
        <w:t xml:space="preserve"> </w:t>
      </w:r>
      <w:r>
        <w:t xml:space="preserve">Collaborative workshop series with Ministry of Education, IFE (Institut de Formation des Enseignants), and school directors to prototype support systems. Prototype testing in 5 schools will measure efficacy.</w:t>
      </w:r>
    </w:p>
    <w:p>
      <w:pPr>
        <w:numPr>
          <w:ilvl w:val="0"/>
          <w:numId w:val="1002"/>
        </w:numPr>
        <w:pStyle w:val="Compact"/>
      </w:pPr>
      <w:r>
        <w:rPr>
          <w:bCs/>
          <w:b/>
        </w:rPr>
        <w:t xml:space="preserve">Data Analysis:</w:t>
      </w:r>
      <w:r>
        <w:t xml:space="preserve"> </w:t>
      </w:r>
      <w:r>
        <w:t xml:space="preserve">NVivo for qualitative coding; SPSS for statistical analysis of survey data. All analysis contextualized within Côte d'Ivoire’s educational policy framework.</w:t>
      </w:r>
    </w:p>
    <w:bookmarkEnd w:id="25"/>
    <w:bookmarkStart w:id="26" w:name="vii.-expected-impact-significance"/>
    <w:p>
      <w:pPr>
        <w:pStyle w:val="Heading2"/>
      </w:pPr>
      <w:r>
        <w:t xml:space="preserve">VII. Expected Impact &amp; Significance</w:t>
      </w:r>
    </w:p>
    <w:p>
      <w:pPr>
        <w:pStyle w:val="FirstParagraph"/>
      </w:pPr>
      <w:r>
        <w:t xml:space="preserve">This Research Proposal directly aligns with the Ministry’s "Education 2030" agenda and addresses the urgent need for sustainable investment in human capital. By centering on</w:t>
      </w:r>
      <w:r>
        <w:t xml:space="preserve"> </w:t>
      </w:r>
      <w:r>
        <w:rPr>
          <w:iCs/>
          <w:i/>
        </w:rPr>
        <w:t xml:space="preserve">Teacher Secondary</w:t>
      </w:r>
      <w:r>
        <w:t xml:space="preserve"> </w:t>
      </w:r>
      <w:r>
        <w:t xml:space="preserve">in Abidjan—where educational outcomes have the highest potential impact due to population density—the study promises:</w:t>
      </w:r>
    </w:p>
    <w:p>
      <w:pPr>
        <w:numPr>
          <w:ilvl w:val="0"/>
          <w:numId w:val="1003"/>
        </w:numPr>
        <w:pStyle w:val="Compact"/>
      </w:pPr>
      <w:r>
        <w:t xml:space="preserve">A validated model for teacher professional development adapted to urban Ivorian realities, reducing attrition by 25% within 3 years.</w:t>
      </w:r>
    </w:p>
    <w:p>
      <w:pPr>
        <w:numPr>
          <w:ilvl w:val="0"/>
          <w:numId w:val="1003"/>
        </w:numPr>
        <w:pStyle w:val="Compact"/>
      </w:pPr>
      <w:r>
        <w:t xml:space="preserve">Policy recommendations for resource allocation targeting classroom support tools and digital infrastructure in Abidjan schools.</w:t>
      </w:r>
    </w:p>
    <w:p>
      <w:pPr>
        <w:numPr>
          <w:ilvl w:val="0"/>
          <w:numId w:val="1003"/>
        </w:numPr>
        <w:pStyle w:val="Compact"/>
      </w:pPr>
      <w:r>
        <w:t xml:space="preserve">Empowerment of</w:t>
      </w:r>
      <w:r>
        <w:t xml:space="preserve"> </w:t>
      </w:r>
      <w:r>
        <w:rPr>
          <w:iCs/>
          <w:i/>
        </w:rPr>
        <w:t xml:space="preserve">Teacher Secondary</w:t>
      </w:r>
      <w:r>
        <w:t xml:space="preserve"> </w:t>
      </w:r>
      <w:r>
        <w:t xml:space="preserve">as agents of change through peer networks, directly improving student engagement metrics by 20% (measured via pre/post intervention assessments).</w:t>
      </w:r>
    </w:p>
    <w:p>
      <w:pPr>
        <w:pStyle w:val="FirstParagraph"/>
      </w:pPr>
      <w:r>
        <w:t xml:space="preserve">The findings will be disseminated through Ministry workshops in Abidjan and published in the</w:t>
      </w:r>
      <w:r>
        <w:t xml:space="preserve"> </w:t>
      </w:r>
      <w:r>
        <w:rPr>
          <w:iCs/>
          <w:i/>
        </w:rPr>
        <w:t xml:space="preserve">Cahiers d'Éducation de Côte d'Ivoire</w:t>
      </w:r>
      <w:r>
        <w:t xml:space="preserve">, ensuring direct uptake by educational policymakers. Critically, this work moves beyond symptom management to address systemic underpinnings of teacher capacity gaps unique to the</w:t>
      </w:r>
      <w:r>
        <w:t xml:space="preserve"> </w:t>
      </w:r>
      <w:r>
        <w:rPr>
          <w:iCs/>
          <w:i/>
        </w:rPr>
        <w:t xml:space="preserve">Ivory Coast Abidjan</w:t>
      </w:r>
      <w:r>
        <w:t xml:space="preserve"> </w:t>
      </w:r>
      <w:r>
        <w:t xml:space="preserve">landscape.</w:t>
      </w:r>
    </w:p>
    <w:bookmarkEnd w:id="26"/>
    <w:bookmarkStart w:id="27" w:name="viii.-budget-timeline-summary"/>
    <w:p>
      <w:pPr>
        <w:pStyle w:val="Heading2"/>
      </w:pPr>
      <w:r>
        <w:t xml:space="preserve">VIII. Budget &amp;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Timeline</w:t>
            </w:r>
          </w:p>
        </w:tc>
        <w:tc>
          <w:tcPr/>
          <w:p>
            <w:pPr>
              <w:pStyle w:val="Compact"/>
              <w:jc w:val="left"/>
            </w:pPr>
            <w:r>
              <w:t xml:space="preserve">Budget (USD)</w:t>
            </w:r>
          </w:p>
        </w:tc>
      </w:tr>
      <w:tr>
        <w:tc>
          <w:tcPr/>
          <w:p>
            <w:pPr>
              <w:pStyle w:val="Compact"/>
              <w:jc w:val="left"/>
            </w:pPr>
            <w:r>
              <w:t xml:space="preserve">Research Design &amp; Ethics Approval</w:t>
            </w:r>
          </w:p>
        </w:tc>
        <w:tc>
          <w:tcPr/>
          <w:p>
            <w:pPr>
              <w:pStyle w:val="Compact"/>
              <w:jc w:val="left"/>
            </w:pPr>
            <w:r>
              <w:t xml:space="preserve">Months 1-2</w:t>
            </w:r>
          </w:p>
        </w:tc>
        <w:tc>
          <w:tcPr/>
          <w:p>
            <w:pPr>
              <w:pStyle w:val="Compact"/>
              <w:jc w:val="left"/>
            </w:pPr>
            <w:r>
              <w:t xml:space="preserve">$8,500</w:t>
            </w:r>
          </w:p>
        </w:tc>
      </w:tr>
      <w:tr>
        <w:tc>
          <w:tcPr/>
          <w:p>
            <w:pPr>
              <w:pStyle w:val="Compact"/>
              <w:jc w:val="left"/>
            </w:pPr>
            <w:r>
              <w:t xml:space="preserve">Data Collection (Survey/Interviews)</w:t>
            </w:r>
          </w:p>
        </w:tc>
        <w:tc>
          <w:tcPr/>
          <w:p>
            <w:pPr>
              <w:pStyle w:val="Compact"/>
              <w:jc w:val="left"/>
            </w:pPr>
            <w:r>
              <w:t xml:space="preserve">Months 3-8</w:t>
            </w:r>
          </w:p>
        </w:tc>
        <w:tc>
          <w:tcPr/>
          <w:p>
            <w:pPr>
              <w:pStyle w:val="Compact"/>
              <w:jc w:val="left"/>
            </w:pPr>
            <w:r>
              <w:t xml:space="preserve">$42,000</w:t>
            </w:r>
          </w:p>
        </w:tc>
      </w:tr>
      <w:tr>
        <w:tc>
          <w:tcPr/>
          <w:p>
            <w:pPr>
              <w:pStyle w:val="Compact"/>
              <w:jc w:val="left"/>
            </w:pPr>
            <w:r>
              <w:t xml:space="preserve">Collaborative Workshop Series</w:t>
            </w:r>
          </w:p>
        </w:tc>
        <w:tc>
          <w:tcPr/>
          <w:p>
            <w:pPr>
              <w:pStyle w:val="Compact"/>
              <w:jc w:val="left"/>
            </w:pPr>
            <w:r>
              <w:t xml:space="preserve">Months 9-16</w:t>
            </w:r>
          </w:p>
        </w:tc>
        <w:tc>
          <w:tcPr/>
          <w:p>
            <w:pPr>
              <w:pStyle w:val="Compact"/>
              <w:jc w:val="left"/>
            </w:pPr>
            <w:r>
              <w:t xml:space="preserve">$28,750</w:t>
            </w:r>
          </w:p>
        </w:tc>
      </w:tr>
      <w:tr>
        <w:tc>
          <w:tcPr/>
          <w:p>
            <w:pPr>
              <w:pStyle w:val="Compact"/>
              <w:jc w:val="left"/>
            </w:pPr>
            <w:r>
              <w:t xml:space="preserve">Analysis &amp; Report Synthesis</w:t>
            </w:r>
          </w:p>
        </w:tc>
        <w:tc>
          <w:tcPr/>
          <w:p>
            <w:pPr>
              <w:pStyle w:val="Compact"/>
              <w:jc w:val="left"/>
            </w:pPr>
            <w:r>
              <w:t xml:space="preserve">Months 17-18</w:t>
            </w:r>
          </w:p>
        </w:tc>
        <w:tc>
          <w:tcPr/>
          <w:p>
            <w:pPr>
              <w:pStyle w:val="Compact"/>
              <w:jc w:val="left"/>
            </w:pPr>
            <w:r>
              <w:t xml:space="preserve">$20,500</w:t>
            </w:r>
          </w:p>
        </w:tc>
      </w:tr>
      <w:tr>
        <w:tc>
          <w:tcPr>
            <w:gridSpan w:val="2"/>
          </w:tcPr>
          <w:p>
            <w:pPr>
              <w:pStyle w:val="Compact"/>
              <w:jc w:val="left"/>
            </w:pPr>
            <w:r>
              <w:rPr>
                <w:bCs/>
                <w:b/>
              </w:rPr>
              <w:t xml:space="preserve">Total</w:t>
            </w:r>
          </w:p>
        </w:tc>
        <w:tc>
          <w:tcPr/>
          <w:p>
            <w:pPr>
              <w:pStyle w:val="Compact"/>
              <w:jc w:val="left"/>
            </w:pPr>
            <w:r>
              <w:rPr>
                <w:bCs/>
                <w:b/>
              </w:rPr>
              <w:t xml:space="preserve">$99,750</w:t>
            </w:r>
          </w:p>
        </w:tc>
      </w:tr>
    </w:tbl>
    <w:bookmarkEnd w:id="27"/>
    <w:bookmarkStart w:id="28" w:name="ix.-conclusion"/>
    <w:p>
      <w:pPr>
        <w:pStyle w:val="Heading2"/>
      </w:pPr>
      <w:r>
        <w:t xml:space="preserve">IX. Conclusion</w:t>
      </w:r>
    </w:p>
    <w:p>
      <w:pPr>
        <w:pStyle w:val="FirstParagraph"/>
      </w:pPr>
      <w:r>
        <w:t xml:space="preserve">The success of secondary education in the Republic of Côte d'Ivoire hinges on the capability and retention of its</w:t>
      </w:r>
      <w:r>
        <w:t xml:space="preserve"> </w:t>
      </w:r>
      <w:r>
        <w:rPr>
          <w:iCs/>
          <w:i/>
        </w:rPr>
        <w:t xml:space="preserve">Teacher Secondary</w:t>
      </w:r>
      <w:r>
        <w:t xml:space="preserve">. Abidjan’s position as the nation's educational hub makes it both a microcosm and catalyst for national reform. This Research Proposal offers a timely, evidence-based pathway to transform challenges facing</w:t>
      </w:r>
      <w:r>
        <w:t xml:space="preserve"> </w:t>
      </w:r>
      <w:r>
        <w:rPr>
          <w:iCs/>
          <w:i/>
        </w:rPr>
        <w:t xml:space="preserve">Teacher Secondary</w:t>
      </w:r>
      <w:r>
        <w:t xml:space="preserve"> </w:t>
      </w:r>
      <w:r>
        <w:t xml:space="preserve">into opportunities for systemic renewal. By prioritizing their professional needs within the specific context of</w:t>
      </w:r>
      <w:r>
        <w:t xml:space="preserve"> </w:t>
      </w:r>
      <w:r>
        <w:rPr>
          <w:iCs/>
          <w:i/>
        </w:rPr>
        <w:t xml:space="preserve">Ivory Coast Abidjan</w:t>
      </w:r>
      <w:r>
        <w:t xml:space="preserve">, we invest in the educators who will shape Côte d'Ivoire’s future workforce and innovation capacity. We seek partnership to launch this critical initiative, ensuring every student in Abidjan’s classrooms receives the quality education they deserve.</w:t>
      </w:r>
    </w:p>
    <w:bookmarkEnd w:id="28"/>
    <w:bookmarkStart w:id="29" w:name="x.-references-selected"/>
    <w:p>
      <w:pPr>
        <w:pStyle w:val="Heading2"/>
      </w:pPr>
      <w:r>
        <w:t xml:space="preserve">X. References (Selected)</w:t>
      </w:r>
    </w:p>
    <w:p>
      <w:pPr>
        <w:numPr>
          <w:ilvl w:val="0"/>
          <w:numId w:val="1004"/>
        </w:numPr>
        <w:pStyle w:val="Compact"/>
      </w:pPr>
      <w:r>
        <w:t xml:space="preserve">Ministry of National Education, Côte d'Ivoire. (2021). *Annual Report on Secondary Education*. Abidjan: Government Print.</w:t>
      </w:r>
    </w:p>
    <w:p>
      <w:pPr>
        <w:numPr>
          <w:ilvl w:val="0"/>
          <w:numId w:val="1004"/>
        </w:numPr>
        <w:pStyle w:val="Compact"/>
      </w:pPr>
      <w:r>
        <w:t xml:space="preserve">UNESCO. (2023). *Education in Africa: Regional Overview*. Paris: UNESCO Publishing.</w:t>
      </w:r>
    </w:p>
    <w:p>
      <w:pPr>
        <w:numPr>
          <w:ilvl w:val="0"/>
          <w:numId w:val="1004"/>
        </w:numPr>
        <w:pStyle w:val="Compact"/>
      </w:pPr>
      <w:r>
        <w:t xml:space="preserve">Soumahoro, K., &amp; Diabaté, A. (2022). Teacher Professional Development Challenges in Urban Ivorian Secondary Schools. *Journal of African Educational Research*, 15(3), 45-67.</w:t>
      </w:r>
    </w:p>
    <w:p>
      <w:pPr>
        <w:numPr>
          <w:ilvl w:val="0"/>
          <w:numId w:val="1004"/>
        </w:numPr>
        <w:pStyle w:val="Compact"/>
      </w:pPr>
      <w:r>
        <w:t xml:space="preserve">Institut National de la Statistique (Côte d'Ivoire). (2022). *Teacher Workforce Survey: Abidjan District*. Abidjan: INS.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Capacity in Ivory Coast Abidjan</dc:title>
  <dc:creator/>
  <dc:language>en</dc:language>
  <cp:keywords/>
  <dcterms:created xsi:type="dcterms:W3CDTF">2026-07-23T01:25:03Z</dcterms:created>
  <dcterms:modified xsi:type="dcterms:W3CDTF">2026-07-23T01:25:03Z</dcterms:modified>
</cp:coreProperties>
</file>

<file path=docProps/custom.xml><?xml version="1.0" encoding="utf-8"?>
<Properties xmlns="http://schemas.openxmlformats.org/officeDocument/2006/custom-properties" xmlns:vt="http://schemas.openxmlformats.org/officeDocument/2006/docPropsVTypes"/>
</file>