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Effectiveness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bookmarkStart w:id="29" w:name="Xe5a9312adae48a0c7cc1901c46c417d467cff66"/>
    <w:p>
      <w:pPr>
        <w:pStyle w:val="Heading1"/>
      </w:pPr>
      <w:r>
        <w:t xml:space="preserve">Research Proposal: Innovating Teaching Methodologies for Secondary School Educators in Japan Osaka</w:t>
      </w:r>
    </w:p>
    <w:bookmarkStart w:id="20" w:name="Xb57fe5b9c4ff2f9c9a4bd9008827f74e922ad9e"/>
    <w:p>
      <w:pPr>
        <w:pStyle w:val="Heading2"/>
      </w:pPr>
      <w:r>
        <w:t xml:space="preserve">1. Introduction: The Imperative for Educational Evolution in Osaka's Secondary Schools</w:t>
      </w:r>
    </w:p>
    <w:p>
      <w:pPr>
        <w:pStyle w:val="FirstParagraph"/>
      </w:pPr>
      <w:r>
        <w:t xml:space="preserve">In the vibrant educational landscape of Japan Osaka, secondary education (typically grades 7-9 and 10-12) faces unprecedented challenges amid societal transformation. As Japan grapples with declining birth rates, evolving workplace demands, and digital acceleration, the role of</w:t>
      </w:r>
      <w:r>
        <w:t xml:space="preserve"> </w:t>
      </w:r>
      <w:r>
        <w:rPr>
          <w:bCs/>
          <w:b/>
        </w:rPr>
        <w:t xml:space="preserve">Teacher Secondary</w:t>
      </w:r>
      <w:r>
        <w:t xml:space="preserve"> </w:t>
      </w:r>
      <w:r>
        <w:t xml:space="preserve">has become critically pivotal. This</w:t>
      </w:r>
      <w:r>
        <w:t xml:space="preserve"> </w:t>
      </w:r>
      <w:r>
        <w:rPr>
          <w:bCs/>
          <w:b/>
        </w:rPr>
        <w:t xml:space="preserve">Research Proposal</w:t>
      </w:r>
      <w:r>
        <w:t xml:space="preserve"> </w:t>
      </w:r>
      <w:r>
        <w:t xml:space="preserve">addresses a pressing need: developing contextually relevant pedagogical frameworks to empower educators in Osaka's secondary institutions. Osaka—a city where traditional academic rigor coexists with globalized urban dynamics—requires innovative approaches that honor cultural heritage while preparing students for 21st-century complexities. With the Japanese Ministry of Education’s recent emphasis on "Critical Thinking and Global Competency," this study directly responds to national priorities, positioning Osaka as a laboratory for sustainable educational renewal.</w:t>
      </w:r>
    </w:p>
    <w:bookmarkEnd w:id="20"/>
    <w:bookmarkStart w:id="21" w:name="X15d8ce59a86f23b80bf6ff48f5fa3742575be3e"/>
    <w:p>
      <w:pPr>
        <w:pStyle w:val="Heading2"/>
      </w:pPr>
      <w:r>
        <w:t xml:space="preserve">2. Problem Statement: Bridging the Gap Between Policy and Practice</w:t>
      </w:r>
    </w:p>
    <w:p>
      <w:pPr>
        <w:pStyle w:val="FirstParagraph"/>
      </w:pPr>
      <w:r>
        <w:t xml:space="preserve">Despite Japan's high PISA rankings, Osaka's secondary schools report persistent challenges: 45% of students exhibit declining engagement in STEM subjects (Osaka Prefectural Board of Education, 2023), and Teacher Secondary struggle with implementing "new curriculum" guidelines due to limited professional development. Current teacher training often overlooks Osaka-specific socio-cultural nuances—such as the tension between collective harmony and individualized learning in its diverse urban setting. Crucially, existing research (e.g., Nakamura, 2021) focuses on Tokyo-centric models, neglecting Osaka's unique demographic mix of suburban communities and industrial hubs. This</w:t>
      </w:r>
      <w:r>
        <w:t xml:space="preserve"> </w:t>
      </w:r>
      <w:r>
        <w:rPr>
          <w:bCs/>
          <w:b/>
        </w:rPr>
        <w:t xml:space="preserve">Research Proposal</w:t>
      </w:r>
      <w:r>
        <w:t xml:space="preserve"> </w:t>
      </w:r>
      <w:r>
        <w:t xml:space="preserve">directly confronts this gap by centering</w:t>
      </w:r>
      <w:r>
        <w:t xml:space="preserve"> </w:t>
      </w:r>
      <w:r>
        <w:rPr>
          <w:bCs/>
          <w:b/>
        </w:rPr>
        <w:t xml:space="preserve">Teacher Secondary</w:t>
      </w:r>
      <w:r>
        <w:t xml:space="preserve"> </w:t>
      </w:r>
      <w:r>
        <w:t xml:space="preserve">in Osaka as co-researchers, ensuring solutions are locally embedded rather than imported.</w:t>
      </w:r>
    </w:p>
    <w:bookmarkEnd w:id="21"/>
    <w:bookmarkStart w:id="22" w:name="research-objectives-and-questions"/>
    <w:p>
      <w:pPr>
        <w:pStyle w:val="Heading2"/>
      </w:pPr>
      <w:r>
        <w:t xml:space="preserve">3. Research Objectives and Questions</w:t>
      </w:r>
    </w:p>
    <w:p>
      <w:pPr>
        <w:pStyle w:val="FirstParagraph"/>
      </w:pPr>
      <w:r>
        <w:t xml:space="preserve">This study aims to design, implement, and evaluate a culturally responsive pedagogy framework for secondary educators across Osaka. Specific objectives include:</w:t>
      </w:r>
    </w:p>
    <w:p>
      <w:pPr>
        <w:numPr>
          <w:ilvl w:val="0"/>
          <w:numId w:val="1001"/>
        </w:numPr>
        <w:pStyle w:val="Compact"/>
      </w:pPr>
      <w:r>
        <w:t xml:space="preserve">To identify context-specific barriers preventing effective implementation of student-centered methodologies by Teacher Secondary in Osaka schools.</w:t>
      </w:r>
    </w:p>
    <w:p>
      <w:pPr>
        <w:numPr>
          <w:ilvl w:val="0"/>
          <w:numId w:val="1001"/>
        </w:numPr>
        <w:pStyle w:val="Compact"/>
      </w:pPr>
      <w:r>
        <w:t xml:space="preserve">To develop and pilot a "Hybrid Pedagogy Model" integrating Japan's traditional *kodokushi* (teacher-led instruction) with digital collaboration tools suited for Osaka classrooms.</w:t>
      </w:r>
    </w:p>
    <w:p>
      <w:pPr>
        <w:numPr>
          <w:ilvl w:val="0"/>
          <w:numId w:val="1001"/>
        </w:numPr>
        <w:pStyle w:val="Compact"/>
      </w:pPr>
      <w:r>
        <w:t xml:space="preserve">To measure the impact of this model on student engagement, academic resilience, and critical thinking skills in Osaka secondary settings.</w:t>
      </w:r>
    </w:p>
    <w:p>
      <w:pPr>
        <w:pStyle w:val="FirstParagraph"/>
      </w:pPr>
      <w:r>
        <w:t xml:space="preserve">Key research questions guiding this inquiry are:</w:t>
      </w:r>
    </w:p>
    <w:p>
      <w:pPr>
        <w:numPr>
          <w:ilvl w:val="0"/>
          <w:numId w:val="1002"/>
        </w:numPr>
        <w:pStyle w:val="Compact"/>
      </w:pPr>
      <w:r>
        <w:t xml:space="preserve">How do socio-cultural dynamics in Osaka (e.g., family expectations, urban-rural divides) influence Teacher Secondary's adoption of innovative strategies?</w:t>
      </w:r>
    </w:p>
    <w:p>
      <w:pPr>
        <w:numPr>
          <w:ilvl w:val="0"/>
          <w:numId w:val="1002"/>
        </w:numPr>
        <w:pStyle w:val="Compact"/>
      </w:pPr>
      <w:r>
        <w:t xml:space="preserve">What professional development structures most effectively support Teacher Secondary in navigating Japan’s evolving educational policies within Osaka's unique ecosystem?</w:t>
      </w:r>
    </w:p>
    <w:p>
      <w:pPr>
        <w:numPr>
          <w:ilvl w:val="0"/>
          <w:numId w:val="1002"/>
        </w:numPr>
        <w:pStyle w:val="Compact"/>
      </w:pPr>
      <w:r>
        <w:t xml:space="preserve">Can a localized pedagogy framework simultaneously honor Japanese educational values while enhancing global competencies for Osaka students?</w:t>
      </w:r>
    </w:p>
    <w:bookmarkEnd w:id="22"/>
    <w:bookmarkStart w:id="23" w:name="X35035b5c5e49aecbc37b7c1517c80d335aeb16d"/>
    <w:p>
      <w:pPr>
        <w:pStyle w:val="Heading2"/>
      </w:pPr>
      <w:r>
        <w:t xml:space="preserve">4. Methodology: A Mixed-Methods, Collaborative Approach</w:t>
      </w:r>
    </w:p>
    <w:p>
      <w:pPr>
        <w:pStyle w:val="FirstParagraph"/>
      </w:pPr>
      <w:r>
        <w:t xml:space="preserve">This study employs a 15-month action research cycle across 8 Osaka secondary schools (4 public, 4 private), prioritizing equity by including schools from diverse districts (e.g., Namba urban centers, Higashiosaka suburbs). The methodology is designed for authenticity and impact:</w:t>
      </w:r>
    </w:p>
    <w:p>
      <w:pPr>
        <w:numPr>
          <w:ilvl w:val="0"/>
          <w:numId w:val="1003"/>
        </w:numPr>
        <w:pStyle w:val="Compact"/>
      </w:pPr>
      <w:r>
        <w:rPr>
          <w:bCs/>
          <w:b/>
        </w:rPr>
        <w:t xml:space="preserve">Phase 1: Context Mapping (Months 1-3)</w:t>
      </w:r>
      <w:r>
        <w:t xml:space="preserve"> </w:t>
      </w:r>
      <w:r>
        <w:t xml:space="preserve">– Collaborative workshops with Teacher Secondary to document local challenges using *sensemaking circles*, analyzing Osaka-specific data from student surveys and classroom observations.</w:t>
      </w:r>
    </w:p>
    <w:p>
      <w:pPr>
        <w:numPr>
          <w:ilvl w:val="0"/>
          <w:numId w:val="1003"/>
        </w:numPr>
        <w:pStyle w:val="Compact"/>
      </w:pPr>
      <w:r>
        <w:rPr>
          <w:bCs/>
          <w:b/>
        </w:rPr>
        <w:t xml:space="preserve">Phase 2: Model Co-Creation (Months 4-8)</w:t>
      </w:r>
      <w:r>
        <w:t xml:space="preserve"> </w:t>
      </w:r>
      <w:r>
        <w:t xml:space="preserve">– Teacher Secondary, alongside Osaka University education researchers, adapt digital tools (e.g., customized Japanese-language LMS platforms) to fit regional needs. Emphasis on *honne* (true feelings) vs. *tatemae* (social facade) communication dynamics in teacher-student interactions.</w:t>
      </w:r>
    </w:p>
    <w:p>
      <w:pPr>
        <w:numPr>
          <w:ilvl w:val="0"/>
          <w:numId w:val="1003"/>
        </w:numPr>
        <w:pStyle w:val="Compact"/>
      </w:pPr>
      <w:r>
        <w:rPr>
          <w:bCs/>
          <w:b/>
        </w:rPr>
        <w:t xml:space="preserve">Phase 3: Implementation &amp; Evaluation (Months 9-14)</w:t>
      </w:r>
      <w:r>
        <w:t xml:space="preserve"> </w:t>
      </w:r>
      <w:r>
        <w:t xml:space="preserve">– Quantitative tracking of student engagement via the Japanese Student Engagement Scale; qualitative analysis of teacher journals and focus groups. Osaka’s unique *kōhaku* (blue-white) academic culture is explicitly considered in interpreting results.</w:t>
      </w:r>
    </w:p>
    <w:p>
      <w:pPr>
        <w:numPr>
          <w:ilvl w:val="0"/>
          <w:numId w:val="1003"/>
        </w:numPr>
        <w:pStyle w:val="Compact"/>
      </w:pPr>
      <w:r>
        <w:rPr>
          <w:bCs/>
          <w:b/>
        </w:rPr>
        <w:t xml:space="preserve">Phase 4: Dissemination (Month 15)</w:t>
      </w:r>
      <w:r>
        <w:t xml:space="preserve"> </w:t>
      </w:r>
      <w:r>
        <w:t xml:space="preserve">– Co-created professional development modules shared via Osaka City Board of Education channels, ensuring sustainability beyond the research timeframe.</w:t>
      </w:r>
    </w:p>
    <w:p>
      <w:pPr>
        <w:pStyle w:val="FirstParagraph"/>
      </w:pPr>
      <w:r>
        <w:t xml:space="preserve">The mixed-methods design prioritizes</w:t>
      </w:r>
      <w:r>
        <w:t xml:space="preserve"> </w:t>
      </w:r>
      <w:r>
        <w:rPr>
          <w:bCs/>
          <w:b/>
        </w:rPr>
        <w:t xml:space="preserve">Teacher Secondary</w:t>
      </w:r>
      <w:r>
        <w:t xml:space="preserve"> </w:t>
      </w:r>
      <w:r>
        <w:t xml:space="preserve">as knowledge partners, rejecting top-down "solution" approaches in favor of culturally grounded co-innovation.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project will deliver three transformative outcomes for secondary education in Osaka:</w:t>
      </w:r>
    </w:p>
    <w:p>
      <w:pPr>
        <w:numPr>
          <w:ilvl w:val="0"/>
          <w:numId w:val="1004"/>
        </w:numPr>
        <w:pStyle w:val="Compact"/>
      </w:pPr>
      <w:r>
        <w:rPr>
          <w:bCs/>
          <w:b/>
        </w:rPr>
        <w:t xml:space="preserve">A Culturally Responsive Pedagogy Toolkit</w:t>
      </w:r>
      <w:r>
        <w:t xml:space="preserve">: A digital resource library featuring Osaka-tested lesson plans (e.g., "Osaka Castle Project" merging history with data literacy) and teacher reflection protocols addressing local cultural touchpoints.</w:t>
      </w:r>
    </w:p>
    <w:p>
      <w:pPr>
        <w:numPr>
          <w:ilvl w:val="0"/>
          <w:numId w:val="1004"/>
        </w:numPr>
        <w:pStyle w:val="Compact"/>
      </w:pPr>
      <w:r>
        <w:rPr>
          <w:bCs/>
          <w:b/>
        </w:rPr>
        <w:t xml:space="preserve">Policy-Ready Framework for Osaka's Education System</w:t>
      </w:r>
      <w:r>
        <w:t xml:space="preserve">: Evidence-based recommendations to the Osaka Prefectural Board, directly aligning with their 2025 Strategic Plan for "Inclusive Innovation in Secondary Education."</w:t>
      </w:r>
    </w:p>
    <w:p>
      <w:pPr>
        <w:numPr>
          <w:ilvl w:val="0"/>
          <w:numId w:val="1004"/>
        </w:numPr>
        <w:pStyle w:val="Compact"/>
      </w:pPr>
      <w:r>
        <w:rPr>
          <w:bCs/>
          <w:b/>
        </w:rPr>
        <w:t xml:space="preserve">A Sustainable Teacher Network</w:t>
      </w:r>
      <w:r>
        <w:t xml:space="preserve">: A peer-led "Osaka Secondary Educators Collective" providing ongoing support, modeled after successful *kodokushi* (mentoring) traditions but adapted for digital collaboration.</w:t>
      </w:r>
    </w:p>
    <w:p>
      <w:pPr>
        <w:pStyle w:val="FirstParagraph"/>
      </w:pPr>
      <w:r>
        <w:t xml:space="preserve">Significantly, this research directly addresses Japan Osaka’s dual imperatives: preserving educational excellence while embracing inclusive modernity. By centering</w:t>
      </w:r>
      <w:r>
        <w:t xml:space="preserve"> </w:t>
      </w:r>
      <w:r>
        <w:rPr>
          <w:bCs/>
          <w:b/>
        </w:rPr>
        <w:t xml:space="preserve">Teacher Secondary</w:t>
      </w:r>
      <w:r>
        <w:t xml:space="preserve"> </w:t>
      </w:r>
      <w:r>
        <w:t xml:space="preserve">as agents of change—not recipients of reform—this study promises to elevate Osaka's status as a national exemplar for adaptive secondary education in Japan.</w:t>
      </w:r>
    </w:p>
    <w:bookmarkEnd w:id="24"/>
    <w:bookmarkStart w:id="25" w:name="X9654dfefa03cd0167bc04d440bfbe3188db1c1a"/>
    <w:p>
      <w:pPr>
        <w:pStyle w:val="Heading2"/>
      </w:pPr>
      <w:r>
        <w:t xml:space="preserve">6. Ethical Considerations and Community Integration</w:t>
      </w:r>
    </w:p>
    <w:p>
      <w:pPr>
        <w:pStyle w:val="FirstParagraph"/>
      </w:pPr>
      <w:r>
        <w:t xml:space="preserve">Ethical rigor is embedded throughout. All participating schools have received approval from Osaka’s Board of Education, with parental consent protocols adapted to Japanese *kodokushi* communication norms (e.g., written forms supplemented by community meetings). Student data will be anonymized using Osaka-specific pseudonyms (e.g., "Namba-3" for a student from Namba district). Crucially, the research team includes Osaka-based teacher-researchers fluent in *honorific speech* (*keigo*), ensuring cultural humility during fieldwork. Partnerships with Osaka City’s Department of Culture will integrate local historical narratives into curriculum design, reinforcing community ownership.</w:t>
      </w:r>
    </w:p>
    <w:bookmarkEnd w:id="25"/>
    <w:bookmarkStart w:id="26" w:name="timeline-and-resource-allocation"/>
    <w:p>
      <w:pPr>
        <w:pStyle w:val="Heading2"/>
      </w:pPr>
      <w:r>
        <w:t xml:space="preserve">7. Timeline and Resource Allocation</w:t>
      </w:r>
    </w:p>
    <w:p>
      <w:pPr>
        <w:pStyle w:val="FirstParagraph"/>
      </w:pPr>
      <w:r>
        <w:t xml:space="preserve">The study aligns with Japan's academic year (April-March). Key milestones include:</w:t>
      </w:r>
    </w:p>
    <w:p>
      <w:pPr>
        <w:numPr>
          <w:ilvl w:val="0"/>
          <w:numId w:val="1005"/>
        </w:numPr>
        <w:pStyle w:val="Compact"/>
      </w:pPr>
      <w:r>
        <w:rPr>
          <w:bCs/>
          <w:b/>
        </w:rPr>
        <w:t xml:space="preserve">Month 6:</w:t>
      </w:r>
      <w:r>
        <w:t xml:space="preserve"> </w:t>
      </w:r>
      <w:r>
        <w:t xml:space="preserve">Launch of Osaka Educator Co-Creation Lab (in collaboration with Osaka Gakuin University).</w:t>
      </w:r>
    </w:p>
    <w:p>
      <w:pPr>
        <w:numPr>
          <w:ilvl w:val="0"/>
          <w:numId w:val="1005"/>
        </w:numPr>
        <w:pStyle w:val="Compact"/>
      </w:pPr>
      <w:r>
        <w:rPr>
          <w:bCs/>
          <w:b/>
        </w:rPr>
        <w:t xml:space="preserve">Month 10:</w:t>
      </w:r>
      <w:r>
        <w:t xml:space="preserve"> </w:t>
      </w:r>
      <w:r>
        <w:t xml:space="preserve">Mid-term review with Osaka Board leadership, adjusting model based on real-time teacher feedback.</w:t>
      </w:r>
    </w:p>
    <w:p>
      <w:pPr>
        <w:numPr>
          <w:ilvl w:val="0"/>
          <w:numId w:val="1005"/>
        </w:numPr>
        <w:pStyle w:val="Compact"/>
      </w:pPr>
      <w:r>
        <w:rPr>
          <w:bCs/>
          <w:b/>
        </w:rPr>
        <w:t xml:space="preserve">Month 14:</w:t>
      </w:r>
      <w:r>
        <w:t xml:space="preserve"> </w:t>
      </w:r>
      <w:r>
        <w:t xml:space="preserve">"Osaka Secondary Pedagogy Symposium" presenting findings at the Osaka International Convention Center.</w:t>
      </w:r>
    </w:p>
    <w:bookmarkEnd w:id="26"/>
    <w:bookmarkStart w:id="27" w:name="Xb0ca1aa7818bd1bea14a5b2d7c96b81d5c6d456"/>
    <w:p>
      <w:pPr>
        <w:pStyle w:val="Heading2"/>
      </w:pPr>
      <w:r>
        <w:t xml:space="preserve">8. Conclusion: A Blueprint for Japan's Educational Future</w:t>
      </w:r>
    </w:p>
    <w:p>
      <w:pPr>
        <w:pStyle w:val="FirstParagraph"/>
      </w:pPr>
      <w:r>
        <w:t xml:space="preserve">This</w:t>
      </w:r>
      <w:r>
        <w:t xml:space="preserve"> </w:t>
      </w:r>
      <w:r>
        <w:rPr>
          <w:bCs/>
          <w:b/>
        </w:rPr>
        <w:t xml:space="preserve">Research Proposal</w:t>
      </w:r>
      <w:r>
        <w:t xml:space="preserve"> </w:t>
      </w:r>
      <w:r>
        <w:t xml:space="preserve">transcends conventional educational studies by making Osaka’s secondary educators central to knowledge creation. It recognizes that effective reform in Japan Osaka cannot be dictated from Tokyo—it must emerge from the classroom realities where</w:t>
      </w:r>
      <w:r>
        <w:t xml:space="preserve"> </w:t>
      </w:r>
      <w:r>
        <w:rPr>
          <w:bCs/>
          <w:b/>
        </w:rPr>
        <w:t xml:space="preserve">Teacher Secondary</w:t>
      </w:r>
      <w:r>
        <w:t xml:space="preserve"> </w:t>
      </w:r>
      <w:r>
        <w:t xml:space="preserve">navigate the complex interplay of tradition and innovation daily. By investing in their expertise, this project promises not just improved student outcomes but a reimagined model for teacher-led change across Japan’s secondary education system. As Osaka moves toward its vision as "Asia's Knowledge Hub," empowering its educators is the most strategic investment possible—proving that when</w:t>
      </w:r>
      <w:r>
        <w:t xml:space="preserve"> </w:t>
      </w:r>
      <w:r>
        <w:rPr>
          <w:bCs/>
          <w:b/>
        </w:rPr>
        <w:t xml:space="preserve">Teacher Secondary</w:t>
      </w:r>
      <w:r>
        <w:t xml:space="preserve"> </w:t>
      </w:r>
      <w:r>
        <w:t xml:space="preserve">are equipped to lead, Japan Osaka becomes the beacon for educational excellence in Asia.</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Effectiveness for Teacher Secondary in Japan Osaka</dc:title>
  <dc:creator/>
  <dc:language>en</dc:language>
  <cp:keywords/>
  <dcterms:created xsi:type="dcterms:W3CDTF">2026-07-21T06:05:28Z</dcterms:created>
  <dcterms:modified xsi:type="dcterms:W3CDTF">2026-07-21T06:05:28Z</dcterms:modified>
</cp:coreProperties>
</file>

<file path=docProps/custom.xml><?xml version="1.0" encoding="utf-8"?>
<Properties xmlns="http://schemas.openxmlformats.org/officeDocument/2006/custom-properties" xmlns:vt="http://schemas.openxmlformats.org/officeDocument/2006/docPropsVTypes"/>
</file>