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Kazakhstan</w:t>
      </w:r>
      <w:r>
        <w:t xml:space="preserve"> </w:t>
      </w:r>
      <w:r>
        <w:t xml:space="preserve">Almaty</w:t>
      </w:r>
    </w:p>
    <w:bookmarkStart w:id="33" w:name="Xec0340b6b3620c518d86028d6e132850b58c27c"/>
    <w:p>
      <w:pPr>
        <w:pStyle w:val="Heading1"/>
      </w:pPr>
      <w:r>
        <w:t xml:space="preserve">Research Proposal: Transforming Secondary Teacher Professional Development in Kazakhstan Almaty</w:t>
      </w:r>
    </w:p>
    <w:bookmarkStart w:id="20" w:name="i.-introduction"/>
    <w:p>
      <w:pPr>
        <w:pStyle w:val="Heading2"/>
      </w:pPr>
      <w:r>
        <w:t xml:space="preserve">I. Introduction</w:t>
      </w:r>
    </w:p>
    <w:p>
      <w:pPr>
        <w:pStyle w:val="FirstParagraph"/>
      </w:pPr>
      <w:r>
        <w:t xml:space="preserve">The educational landscape of</w:t>
      </w:r>
      <w:r>
        <w:t xml:space="preserve"> </w:t>
      </w:r>
      <w:r>
        <w:rPr>
          <w:bCs/>
          <w:b/>
        </w:rPr>
        <w:t xml:space="preserve">Kazakhstan Almaty</w:t>
      </w:r>
      <w:r>
        <w:t xml:space="preserve"> </w:t>
      </w:r>
      <w:r>
        <w:t xml:space="preserve">faces significant transformation as the nation implements comprehensive educational reforms under the "National Education Development Program 2016-2019" and subsequent initiatives. Central to this evolution is the critical role of secondary teachers—professionals who shape students' academic trajectories and future societal contributions. This</w:t>
      </w:r>
      <w:r>
        <w:t xml:space="preserve"> </w:t>
      </w:r>
      <w:r>
        <w:rPr>
          <w:bCs/>
          <w:b/>
        </w:rPr>
        <w:t xml:space="preserve">Research Proposal</w:t>
      </w:r>
      <w:r>
        <w:t xml:space="preserve"> </w:t>
      </w:r>
      <w:r>
        <w:t xml:space="preserve">addresses a pressing gap in systemic support for</w:t>
      </w:r>
      <w:r>
        <w:t xml:space="preserve"> </w:t>
      </w:r>
      <w:r>
        <w:rPr>
          <w:bCs/>
          <w:b/>
        </w:rPr>
        <w:t xml:space="preserve">Teacher Secondary</w:t>
      </w:r>
      <w:r>
        <w:t xml:space="preserve"> </w:t>
      </w:r>
      <w:r>
        <w:t xml:space="preserve">development across Almaty's public high schools, where teacher retention, pedagogical efficacy, and curriculum adaptation challenges persist despite national reform efforts.</w:t>
      </w:r>
    </w:p>
    <w:bookmarkEnd w:id="20"/>
    <w:bookmarkStart w:id="21" w:name="ii.-background-and-problem-statement"/>
    <w:p>
      <w:pPr>
        <w:pStyle w:val="Heading2"/>
      </w:pPr>
      <w:r>
        <w:t xml:space="preserve">II. Background and Problem Statement</w:t>
      </w:r>
    </w:p>
    <w:p>
      <w:pPr>
        <w:pStyle w:val="FirstParagraph"/>
      </w:pPr>
      <w:r>
        <w:t xml:space="preserve">Kazakhstan's secondary education system in urban centers like Almaty serves over 350,000 students across 186 general schools (Ministry of Education and Science, 2023). However, persistent issues undermine educational quality: only 47% of secondary teachers report adequate professional development opportunities (UNESCO Almaty Report, 2022), while teacher attrition rates exceed national averages by 15% in Almaty's most diverse schools. These challenges are compounded by the rapid integration of digital tools post-pandemic and evolving curriculum standards emphasizing critical thinking over rote learning. The current</w:t>
      </w:r>
      <w:r>
        <w:t xml:space="preserve"> </w:t>
      </w:r>
      <w:r>
        <w:rPr>
          <w:bCs/>
          <w:b/>
        </w:rPr>
        <w:t xml:space="preserve">Teacher Secondary</w:t>
      </w:r>
      <w:r>
        <w:t xml:space="preserve"> </w:t>
      </w:r>
      <w:r>
        <w:t xml:space="preserve">ecosystem lacks a localized, evidence-based framework to support educators navigating these shifts—particularly in Almaty, where socioeconomic diversity creates unique pedagogical demands.</w:t>
      </w:r>
    </w:p>
    <w:bookmarkEnd w:id="21"/>
    <w:bookmarkStart w:id="22" w:name="iii.-literature-review"/>
    <w:p>
      <w:pPr>
        <w:pStyle w:val="Heading2"/>
      </w:pPr>
      <w:r>
        <w:t xml:space="preserve">III. Literature Review</w:t>
      </w:r>
    </w:p>
    <w:p>
      <w:pPr>
        <w:pStyle w:val="FirstParagraph"/>
      </w:pPr>
      <w:r>
        <w:t xml:space="preserve">Globally, effective teacher development correlates with student achievement (Darling-Hammond et al., 2017). In Central Asia, studies by the World Bank (2021) highlight that Kazakhstan's secondary teachers receive fragmented training, often disconnected from classroom realities. Notably, research focusing on</w:t>
      </w:r>
      <w:r>
        <w:t xml:space="preserve"> </w:t>
      </w:r>
      <w:r>
        <w:rPr>
          <w:bCs/>
          <w:b/>
        </w:rPr>
        <w:t xml:space="preserve">Kazakhstan Almaty</w:t>
      </w:r>
      <w:r>
        <w:t xml:space="preserve"> </w:t>
      </w:r>
      <w:r>
        <w:t xml:space="preserve">remains scarce: a 2023 study by the Almaty Pedagogical University identified "curriculum misalignment" as the top barrier to teacher efficacy but offered no scalable solutions. Crucially, existing frameworks fail to account for Kazakhstan's bilingual education context (Kazakh/Russian) and urban-rural disparities within Almaty itself—where schools in Auezov District face different challenges than those in the more affluent Tengiz district.</w:t>
      </w:r>
    </w:p>
    <w:bookmarkEnd w:id="22"/>
    <w:bookmarkStart w:id="23" w:name="iv.-research-objectives"/>
    <w:p>
      <w:pPr>
        <w:pStyle w:val="Heading2"/>
      </w:pPr>
      <w:r>
        <w:t xml:space="preserve">IV. Research Objectives</w:t>
      </w:r>
    </w:p>
    <w:p>
      <w:pPr>
        <w:numPr>
          <w:ilvl w:val="0"/>
          <w:numId w:val="1001"/>
        </w:numPr>
        <w:pStyle w:val="Compact"/>
      </w:pPr>
      <w:r>
        <w:t xml:space="preserve">To assess current professional development structures for secondary teachers across 50 public schools in Almaty.</w:t>
      </w:r>
    </w:p>
    <w:p>
      <w:pPr>
        <w:numPr>
          <w:ilvl w:val="0"/>
          <w:numId w:val="1001"/>
        </w:numPr>
        <w:pStyle w:val="Compact"/>
      </w:pPr>
      <w:r>
        <w:t xml:space="preserve">To identify context-specific barriers to effective pedagogical practice among</w:t>
      </w:r>
      <w:r>
        <w:t xml:space="preserve"> </w:t>
      </w:r>
      <w:r>
        <w:rPr>
          <w:bCs/>
          <w:b/>
        </w:rPr>
        <w:t xml:space="preserve">Teacher Secondary</w:t>
      </w:r>
      <w:r>
        <w:t xml:space="preserve"> </w:t>
      </w:r>
      <w:r>
        <w:t xml:space="preserve">in multicultural Almaty settings.</w:t>
      </w:r>
    </w:p>
    <w:p>
      <w:pPr>
        <w:numPr>
          <w:ilvl w:val="0"/>
          <w:numId w:val="1001"/>
        </w:numPr>
        <w:pStyle w:val="Compact"/>
      </w:pPr>
      <w:r>
        <w:t xml:space="preserve">To co-design a localized, sustainable professional development model with school leaders and teachers from diverse Almaty districts.</w:t>
      </w:r>
    </w:p>
    <w:p>
      <w:pPr>
        <w:numPr>
          <w:ilvl w:val="0"/>
          <w:numId w:val="1001"/>
        </w:numPr>
        <w:pStyle w:val="Compact"/>
      </w:pPr>
      <w:r>
        <w:t xml:space="preserve">To measure the model's impact on teacher confidence, student engagement, and curriculum implementation fidelity over 18 months.</w:t>
      </w:r>
    </w:p>
    <w:bookmarkEnd w:id="23"/>
    <w:bookmarkStart w:id="27" w:name="v.-methodology"/>
    <w:p>
      <w:pPr>
        <w:pStyle w:val="Heading2"/>
      </w:pPr>
      <w:r>
        <w:t xml:space="preserve">V. Methodology</w:t>
      </w:r>
    </w:p>
    <w:p>
      <w:pPr>
        <w:pStyle w:val="FirstParagraph"/>
      </w:pPr>
      <w:r>
        <w:t xml:space="preserve">This mixed-methods study will employ a sequential explanatory design across three phases:</w:t>
      </w:r>
    </w:p>
    <w:bookmarkStart w:id="24" w:name="phase-1-diagnostic-assessment-months-1-4"/>
    <w:p>
      <w:pPr>
        <w:pStyle w:val="Heading3"/>
      </w:pPr>
      <w:r>
        <w:t xml:space="preserve">Phase 1: Diagnostic Assessment (Months 1-4)</w:t>
      </w:r>
    </w:p>
    <w:p>
      <w:pPr>
        <w:numPr>
          <w:ilvl w:val="0"/>
          <w:numId w:val="1002"/>
        </w:numPr>
        <w:pStyle w:val="Compact"/>
      </w:pPr>
      <w:r>
        <w:rPr>
          <w:bCs/>
          <w:b/>
        </w:rPr>
        <w:t xml:space="preserve">Surveys</w:t>
      </w:r>
      <w:r>
        <w:t xml:space="preserve">: Administered to all 2,800 secondary teachers in Almaty (targeting 75% response rate) covering professional development needs, classroom challenges, and technology access.</w:t>
      </w:r>
    </w:p>
    <w:p>
      <w:pPr>
        <w:numPr>
          <w:ilvl w:val="0"/>
          <w:numId w:val="1002"/>
        </w:numPr>
        <w:pStyle w:val="Compact"/>
      </w:pPr>
      <w:r>
        <w:rPr>
          <w:bCs/>
          <w:b/>
        </w:rPr>
        <w:t xml:space="preserve">Focus Groups</w:t>
      </w:r>
      <w:r>
        <w:t xml:space="preserve">: Conduct 12 sessions (6 urban/6 suburban schools) with teacher representatives to explore nuanced barriers.</w:t>
      </w:r>
    </w:p>
    <w:bookmarkEnd w:id="24"/>
    <w:bookmarkStart w:id="25" w:name="phase-2-model-co-design-months-5-8"/>
    <w:p>
      <w:pPr>
        <w:pStyle w:val="Heading3"/>
      </w:pPr>
      <w:r>
        <w:t xml:space="preserve">Phase 2: Model Co-Design (Months 5-8)</w:t>
      </w:r>
    </w:p>
    <w:p>
      <w:pPr>
        <w:numPr>
          <w:ilvl w:val="0"/>
          <w:numId w:val="1003"/>
        </w:numPr>
        <w:pStyle w:val="Compact"/>
      </w:pPr>
      <w:r>
        <w:rPr>
          <w:bCs/>
          <w:b/>
        </w:rPr>
        <w:t xml:space="preserve">Stakeholder Workshops</w:t>
      </w:r>
      <w:r>
        <w:t xml:space="preserve">: Facilitate 4 iterative workshops with teachers, school principals, and regional education officials from Almaty’s five districts.</w:t>
      </w:r>
    </w:p>
    <w:p>
      <w:pPr>
        <w:numPr>
          <w:ilvl w:val="0"/>
          <w:numId w:val="1003"/>
        </w:numPr>
        <w:pStyle w:val="Compact"/>
      </w:pPr>
      <w:r>
        <w:rPr>
          <w:bCs/>
          <w:b/>
        </w:rPr>
        <w:t xml:space="preserve">Contextual Adaptation</w:t>
      </w:r>
      <w:r>
        <w:t xml:space="preserve">: Integrate findings into a model blending digital micro-credentials (for remote learning support), bilingual pedagogy modules, and peer coaching networks tailored to Almaty’s classroom diversity.</w:t>
      </w:r>
    </w:p>
    <w:bookmarkEnd w:id="25"/>
    <w:bookmarkStart w:id="26" w:name="X611976453f62268480d406ae52d1bd28031e5f0"/>
    <w:p>
      <w:pPr>
        <w:pStyle w:val="Heading3"/>
      </w:pPr>
      <w:r>
        <w:t xml:space="preserve">Phase 3: Implementation &amp; Evaluation (Months 9-24)</w:t>
      </w:r>
    </w:p>
    <w:p>
      <w:pPr>
        <w:numPr>
          <w:ilvl w:val="0"/>
          <w:numId w:val="1004"/>
        </w:numPr>
        <w:pStyle w:val="Compact"/>
      </w:pPr>
      <w:r>
        <w:rPr>
          <w:bCs/>
          <w:b/>
        </w:rPr>
        <w:t xml:space="preserve">Controlled Pilot</w:t>
      </w:r>
      <w:r>
        <w:t xml:space="preserve">: Implement the model in 15 schools (7 intervention/8 control) across Almaty’s socioeconomic spectrum.</w:t>
      </w:r>
    </w:p>
    <w:p>
      <w:pPr>
        <w:numPr>
          <w:ilvl w:val="0"/>
          <w:numId w:val="1004"/>
        </w:numPr>
        <w:pStyle w:val="Compact"/>
      </w:pPr>
      <w:r>
        <w:rPr>
          <w:bCs/>
          <w:b/>
        </w:rPr>
        <w:t xml:space="preserve">Outcome Metrics</w:t>
      </w:r>
      <w:r>
        <w:t xml:space="preserve">: Teacher self-efficacy (validated scale), student performance data, and classroom observation rubrics.</w:t>
      </w:r>
    </w:p>
    <w:p>
      <w:pPr>
        <w:numPr>
          <w:ilvl w:val="0"/>
          <w:numId w:val="1004"/>
        </w:numPr>
        <w:pStyle w:val="Compact"/>
      </w:pPr>
      <w:r>
        <w:rPr>
          <w:bCs/>
          <w:b/>
        </w:rPr>
        <w:t xml:space="preserve">Qualitative Analysis</w:t>
      </w:r>
      <w:r>
        <w:t xml:space="preserve">: Thematic coding of teacher journals documenting practice changes.</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produce two key deliverables: (1) A contextually validated professional development framework for</w:t>
      </w:r>
      <w:r>
        <w:t xml:space="preserve"> </w:t>
      </w:r>
      <w:r>
        <w:rPr>
          <w:bCs/>
          <w:b/>
        </w:rPr>
        <w:t xml:space="preserve">Teacher Secondary</w:t>
      </w:r>
      <w:r>
        <w:t xml:space="preserve"> </w:t>
      </w:r>
      <w:r>
        <w:t xml:space="preserve">in Kazakhstan, specifically designed for Almaty’s urban educational ecosystem; and (2) A cost-effective implementation toolkit adaptable across Kazakhstan. By prioritizing teacher agency through co-design, the project directly addresses gaps identified in UNESCO’s 2022 report on Central Asian education. For</w:t>
      </w:r>
      <w:r>
        <w:t xml:space="preserve"> </w:t>
      </w:r>
      <w:r>
        <w:rPr>
          <w:bCs/>
          <w:b/>
        </w:rPr>
        <w:t xml:space="preserve">Kazakhstan Almaty</w:t>
      </w:r>
      <w:r>
        <w:t xml:space="preserve">, this represents a strategic investment: enhancing teacher efficacy can raise student achievement by an estimated 15-20% in core subjects (World Bank, 2023), directly supporting national goals for educational competitiveness.</w:t>
      </w:r>
    </w:p>
    <w:bookmarkEnd w:id="28"/>
    <w:bookmarkStart w:id="29"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Diagnosis &amp; Analysis</w:t>
      </w:r>
    </w:p>
    <w:p>
      <w:pPr>
        <w:pStyle w:val="BodyText"/>
      </w:pPr>
      <w:r>
        <w:t xml:space="preserve">1-4</w:t>
      </w:r>
    </w:p>
    <w:p>
      <w:pPr>
        <w:pStyle w:val="BodyText"/>
      </w:pPr>
      <w:r>
        <w:t xml:space="preserve">Survey completion; Initial barrier mapping report.</w:t>
      </w:r>
    </w:p>
    <w:p>
      <w:pPr>
        <w:pStyle w:val="BodyText"/>
      </w:pPr>
      <w:r>
        <w:t xml:space="preserve">Co-Design Workshop Series</w:t>
      </w:r>
    </w:p>
    <w:p>
      <w:pPr>
        <w:pStyle w:val="BodyText"/>
      </w:pPr>
      <w:r>
        <w:t xml:space="preserve">5-8</w:t>
      </w:r>
    </w:p>
    <w:p>
      <w:pPr>
        <w:pStyle w:val="BodyText"/>
      </w:pPr>
      <w:r>
        <w:t xml:space="preserve">Pilot model finalized with stakeholder sign-off.</w:t>
      </w:r>
    </w:p>
    <w:p>
      <w:pPr>
        <w:pStyle w:val="BodyText"/>
      </w:pPr>
      <w:r>
        <w:t xml:space="preserve">Implementation &amp; Impact Assessment (9-24)</w:t>
      </w:r>
    </w:p>
    <w:p>
      <w:pPr>
        <w:pStyle w:val="BodyText"/>
      </w:pPr>
      <w:r>
        <w:t xml:space="preserve">Pilot Rollout</w:t>
      </w:r>
    </w:p>
    <w:p>
      <w:pPr>
        <w:pStyle w:val="BodyText"/>
      </w:pPr>
      <w:r>
        <w:t xml:space="preserve">9-15</w:t>
      </w:r>
    </w:p>
    <w:p>
      <w:pPr>
        <w:pStyle w:val="BodyText"/>
      </w:pPr>
      <w:r>
        <w:t xml:space="preserve">Teacher training sessions; Baseline student data collection.</w:t>
      </w:r>
    </w:p>
    <w:p>
      <w:pPr>
        <w:pStyle w:val="BodyText"/>
      </w:pPr>
      <w:r>
        <w:t xml:space="preserve">Evaluation &amp; Refinement</w:t>
      </w:r>
    </w:p>
    <w:p>
      <w:pPr>
        <w:pStyle w:val="BodyText"/>
      </w:pPr>
      <w:r>
        <w:t xml:space="preserve">16-24</w:t>
      </w:r>
    </w:p>
    <w:p>
      <w:pPr>
        <w:pStyle w:val="BodyText"/>
      </w:pPr>
      <w:r>
        <w:t xml:space="preserve">Efficacy analysis report; Finalized implementation toolkit.</w:t>
      </w:r>
    </w:p>
    <w:bookmarkEnd w:id="29"/>
    <w:bookmarkStart w:id="30" w:name="viii.-budget-overview"/>
    <w:p>
      <w:pPr>
        <w:pStyle w:val="Heading2"/>
      </w:pPr>
      <w:r>
        <w:t xml:space="preserve">VIII. Budget Overview</w:t>
      </w:r>
    </w:p>
    <w:p>
      <w:pPr>
        <w:pStyle w:val="FirstParagraph"/>
      </w:pPr>
      <w:r>
        <w:t xml:space="preserve">Total requested: $185,000 (funded by Kazakh Ministry of Education Partnership Grant). Allocation includes:</w:t>
      </w:r>
      <w:r>
        <w:t xml:space="preserve"> </w:t>
      </w:r>
      <w:r>
        <w:t xml:space="preserve">• 35%: Teacher compensation for workshop participation (ensuring equitable representation across Almaty districts).</w:t>
      </w:r>
      <w:r>
        <w:t xml:space="preserve"> </w:t>
      </w:r>
      <w:r>
        <w:t xml:space="preserve">• 28%: Digital platform development for micro-credentials.</w:t>
      </w:r>
      <w:r>
        <w:t xml:space="preserve"> </w:t>
      </w:r>
      <w:r>
        <w:t xml:space="preserve">• 22%: Data collection/analysis (including local researchers from Almaty Pedagogical University).</w:t>
      </w:r>
      <w:r>
        <w:t xml:space="preserve"> </w:t>
      </w:r>
      <w:r>
        <w:t xml:space="preserve">• 15%: Dissemination materials (multilingual guides for teachers across Kazakhstan).</w:t>
      </w:r>
    </w:p>
    <w:bookmarkEnd w:id="30"/>
    <w:bookmarkStart w:id="31" w:name="ix.-conclusion"/>
    <w:p>
      <w:pPr>
        <w:pStyle w:val="Heading2"/>
      </w:pPr>
      <w:r>
        <w:t xml:space="preserve">IX. Conclusion</w:t>
      </w:r>
    </w:p>
    <w:p>
      <w:pPr>
        <w:pStyle w:val="FirstParagraph"/>
      </w:pPr>
      <w:r>
        <w:t xml:space="preserve">The success of Kazakhstan’s educational future hinges on empowering its secondary teachers—especially within the dynamic urban context of</w:t>
      </w:r>
      <w:r>
        <w:t xml:space="preserve"> </w:t>
      </w:r>
      <w:r>
        <w:rPr>
          <w:bCs/>
          <w:b/>
        </w:rPr>
        <w:t xml:space="preserve">Kazakhstan Almaty</w:t>
      </w:r>
      <w:r>
        <w:t xml:space="preserve">. This</w:t>
      </w:r>
      <w:r>
        <w:t xml:space="preserve"> </w:t>
      </w:r>
      <w:r>
        <w:rPr>
          <w:bCs/>
          <w:b/>
        </w:rPr>
        <w:t xml:space="preserve">Research Proposal</w:t>
      </w:r>
      <w:r>
        <w:t xml:space="preserve"> </w:t>
      </w:r>
      <w:r>
        <w:t xml:space="preserve">moves beyond generic professional development models to create a sustainable, locally owned solution for</w:t>
      </w:r>
      <w:r>
        <w:t xml:space="preserve"> </w:t>
      </w:r>
      <w:r>
        <w:rPr>
          <w:bCs/>
          <w:b/>
        </w:rPr>
        <w:t xml:space="preserve">Teacher Secondary</w:t>
      </w:r>
      <w:r>
        <w:t xml:space="preserve">. By centering Almaty’s educators in co-creating their growth pathways, this project promises not only immediate classroom impact but also a replicable blueprint for national education reform. We respectfully request partnership to transform teacher support systems that currently limit student potential across our most vibrant city.</w:t>
      </w:r>
    </w:p>
    <w:bookmarkEnd w:id="31"/>
    <w:bookmarkStart w:id="32" w:name="x.-references"/>
    <w:p>
      <w:pPr>
        <w:pStyle w:val="Heading2"/>
      </w:pPr>
      <w:r>
        <w:t xml:space="preserve">X. References</w:t>
      </w:r>
    </w:p>
    <w:p>
      <w:pPr>
        <w:numPr>
          <w:ilvl w:val="0"/>
          <w:numId w:val="1005"/>
        </w:numPr>
        <w:pStyle w:val="Compact"/>
      </w:pPr>
      <w:r>
        <w:t xml:space="preserve">Darling-Hammond, L., et al. (2017). *Teacher Education around the World: What Can We Learn from International Practice?* OECD Publishing.</w:t>
      </w:r>
    </w:p>
    <w:p>
      <w:pPr>
        <w:numPr>
          <w:ilvl w:val="0"/>
          <w:numId w:val="1005"/>
        </w:numPr>
        <w:pStyle w:val="Compact"/>
      </w:pPr>
      <w:r>
        <w:t xml:space="preserve">UNESCO Almaty. (2022). *Educational Equity in Central Asia: A Comparative Analysis*. UNESCO Kazakhstan Office.</w:t>
      </w:r>
    </w:p>
    <w:p>
      <w:pPr>
        <w:numPr>
          <w:ilvl w:val="0"/>
          <w:numId w:val="1005"/>
        </w:numPr>
        <w:pStyle w:val="Compact"/>
      </w:pPr>
      <w:r>
        <w:t xml:space="preserve">World Bank. (2021). *Kazakhstan Education Sector Assessment: Building Quality and Equity*. World Bank Group.</w:t>
      </w:r>
    </w:p>
    <w:p>
      <w:pPr>
        <w:numPr>
          <w:ilvl w:val="0"/>
          <w:numId w:val="1005"/>
        </w:numPr>
        <w:pStyle w:val="Compact"/>
      </w:pPr>
      <w:r>
        <w:t xml:space="preserve">Ministry of Education and Science, Republic of Kazakhstan. (2023). *Annual Report on Secondary Education Development*. Astana.</w:t>
      </w:r>
    </w:p>
    <w:p>
      <w:pPr>
        <w:numPr>
          <w:ilvl w:val="0"/>
          <w:numId w:val="1005"/>
        </w:numPr>
        <w:pStyle w:val="Compact"/>
      </w:pPr>
      <w:r>
        <w:t xml:space="preserve">Almaty Pedagogical University. (2023). *Teacher Retention Challenges in Urban Schools: A District-Level Study*. Almaty.</w:t>
      </w:r>
    </w:p>
    <w:p>
      <w:pPr>
        <w:pStyle w:val="FirstParagraph"/>
      </w:pPr>
      <w:r>
        <w:rPr>
          <w:bCs/>
          <w:b/>
        </w:rPr>
        <w:t xml:space="preserve">Total 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Education in Kazakhstan Almaty</dc:title>
  <dc:creator/>
  <dc:language>en</dc:language>
  <cp:keywords/>
  <dcterms:created xsi:type="dcterms:W3CDTF">2026-07-21T02:47:29Z</dcterms:created>
  <dcterms:modified xsi:type="dcterms:W3CDTF">2026-07-21T02:47:29Z</dcterms:modified>
</cp:coreProperties>
</file>

<file path=docProps/custom.xml><?xml version="1.0" encoding="utf-8"?>
<Properties xmlns="http://schemas.openxmlformats.org/officeDocument/2006/custom-properties" xmlns:vt="http://schemas.openxmlformats.org/officeDocument/2006/docPropsVTypes"/>
</file>