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Effectiveness</w:t>
      </w:r>
      <w:r>
        <w:t xml:space="preserve"> </w:t>
      </w:r>
      <w:r>
        <w:t xml:space="preserve">in</w:t>
      </w:r>
      <w:r>
        <w:t xml:space="preserve"> </w:t>
      </w:r>
      <w:r>
        <w:t xml:space="preserve">Kuwait</w:t>
      </w:r>
      <w:r>
        <w:t xml:space="preserve"> </w:t>
      </w:r>
      <w:r>
        <w:t xml:space="preserve">Kuwait</w:t>
      </w:r>
      <w:r>
        <w:t xml:space="preserve"> </w:t>
      </w:r>
      <w:r>
        <w:t xml:space="preserve">City</w:t>
      </w:r>
    </w:p>
    <w:bookmarkStart w:id="29" w:name="X9a79a9d6f71910adc4f9f96608d685500fc864c"/>
    <w:p>
      <w:pPr>
        <w:pStyle w:val="Heading1"/>
      </w:pPr>
      <w:r>
        <w:t xml:space="preserve">Research Proposal: Enhancing Teacher Secondary Effectiveness and Professional Development in Kuwait Kuwait City</w:t>
      </w:r>
    </w:p>
    <w:bookmarkStart w:id="20" w:name="introduction"/>
    <w:p>
      <w:pPr>
        <w:pStyle w:val="Heading2"/>
      </w:pPr>
      <w:r>
        <w:t xml:space="preserve">1. Introduction</w:t>
      </w:r>
    </w:p>
    <w:p>
      <w:pPr>
        <w:pStyle w:val="FirstParagraph"/>
      </w:pPr>
      <w:r>
        <w:t xml:space="preserve">The educational landscape of Kuwait, particularly within the bustling metropolis of Kuwait City, faces evolving challenges in secondary education. As the cornerstone of national development, secondary schooling must equip students with critical thinking skills and adaptability for a rapidly changing global economy. However, persistent gaps in</w:t>
      </w:r>
      <w:r>
        <w:t xml:space="preserve"> </w:t>
      </w:r>
      <w:r>
        <w:rPr>
          <w:iCs/>
          <w:i/>
        </w:rPr>
        <w:t xml:space="preserve">Teacher Secondary</w:t>
      </w:r>
      <w:r>
        <w:t xml:space="preserve"> </w:t>
      </w:r>
      <w:r>
        <w:t xml:space="preserve">competence—particularly in pedagogical innovation, cultural responsiveness, and technology integration—threaten to undermine this mission. This</w:t>
      </w:r>
      <w:r>
        <w:t xml:space="preserve"> </w:t>
      </w:r>
      <w:r>
        <w:rPr>
          <w:bCs/>
          <w:b/>
        </w:rPr>
        <w:t xml:space="preserve">Research Proposal</w:t>
      </w:r>
      <w:r>
        <w:t xml:space="preserve"> </w:t>
      </w:r>
      <w:r>
        <w:t xml:space="preserve">addresses these critical issues by focusing on the professional growth of secondary educators within Kuwait City's unique socio-educational context. With Kuwait City housing over 50% of the nation's secondary schools and serving a diverse student population, targeted interventions for</w:t>
      </w:r>
      <w:r>
        <w:t xml:space="preserve"> </w:t>
      </w:r>
      <w:r>
        <w:rPr>
          <w:iCs/>
          <w:i/>
        </w:rPr>
        <w:t xml:space="preserve">Teacher Secondary</w:t>
      </w:r>
      <w:r>
        <w:t xml:space="preserve"> </w:t>
      </w:r>
      <w:r>
        <w:t xml:space="preserve">are not merely beneficial but essential for educational equity and national vision alignment.</w:t>
      </w:r>
    </w:p>
    <w:bookmarkEnd w:id="20"/>
    <w:bookmarkStart w:id="21" w:name="problem-statement"/>
    <w:p>
      <w:pPr>
        <w:pStyle w:val="Heading2"/>
      </w:pPr>
      <w:r>
        <w:t xml:space="preserve">2. Problem Statement</w:t>
      </w:r>
    </w:p>
    <w:p>
      <w:pPr>
        <w:pStyle w:val="FirstParagraph"/>
      </w:pPr>
      <w:r>
        <w:t xml:space="preserve">Kuwait's Ministry of Education has consistently highlighted teacher quality as the most influential factor in student outcomes. Yet, in Kuwait City, secondary teachers report significant barriers including outdated curricula, insufficient digital training, and limited support for inclusive practices. A recent national survey revealed that 68% of Teacher Secondary in Kuwait City feel unprepared to implement competency-based learning—directly conflicting with Kuwait Vision 2035’s goals. Compounding this, high attrition rates (15% annually among secondary teachers) signal systemic disengagement. This research directly confronts these challenges by investigating the specific professional development needs of</w:t>
      </w:r>
      <w:r>
        <w:t xml:space="preserve"> </w:t>
      </w:r>
      <w:r>
        <w:rPr>
          <w:iCs/>
          <w:i/>
        </w:rPr>
        <w:t xml:space="preserve">Teacher Secondary</w:t>
      </w:r>
      <w:r>
        <w:t xml:space="preserve"> </w:t>
      </w:r>
      <w:r>
        <w:t xml:space="preserve">within Kuwait City's distinct urban environment, where cultural dynamics and resource disparities create unique teaching contexts absent in rural districts.</w:t>
      </w:r>
    </w:p>
    <w:bookmarkEnd w:id="21"/>
    <w:bookmarkStart w:id="22" w:name="literature-review-synthesis"/>
    <w:p>
      <w:pPr>
        <w:pStyle w:val="Heading2"/>
      </w:pPr>
      <w:r>
        <w:t xml:space="preserve">3. Literature Review (Synthesis)</w:t>
      </w:r>
    </w:p>
    <w:p>
      <w:pPr>
        <w:pStyle w:val="FirstParagraph"/>
      </w:pPr>
      <w:r>
        <w:t xml:space="preserve">Existing studies on teacher development in GCC countries often generalize findings across national contexts, neglecting Kuwait City’s nuanced realities. Research by Al-Senaidi (2021) identified technology gaps among secondary teachers but overlooked Kuwait City’s high-stakes exam culture as a barrier to innovation. Similarly, regional studies from Saudi Arabia and UAE (Al-Harbi, 2020) emphasized professional learning communities yet failed to address Kuwait City’s linguistic diversity—where Arabic-English bilingualism is the norm in most public secondary schools. This gap underscores our focus:</w:t>
      </w:r>
      <w:r>
        <w:t xml:space="preserve"> </w:t>
      </w:r>
      <w:r>
        <w:rPr>
          <w:bCs/>
          <w:b/>
        </w:rPr>
        <w:t xml:space="preserve">Teacher Secondary</w:t>
      </w:r>
      <w:r>
        <w:t xml:space="preserve"> </w:t>
      </w:r>
      <w:r>
        <w:t xml:space="preserve">in Kuwait City require context-specific solutions integrating cultural identity, language policy, and urban socioeconomic factors. Our proposal synthesizes these insights to design interventions grounded in local evidence.</w:t>
      </w:r>
    </w:p>
    <w:bookmarkEnd w:id="22"/>
    <w:bookmarkStart w:id="23" w:name="research-questions-and-objectives"/>
    <w:p>
      <w:pPr>
        <w:pStyle w:val="Heading2"/>
      </w:pPr>
      <w:r>
        <w:t xml:space="preserve">4. Research Questions and Objectives</w:t>
      </w:r>
    </w:p>
    <w:p>
      <w:pPr>
        <w:pStyle w:val="FirstParagraph"/>
      </w:pPr>
      <w:r>
        <w:rPr>
          <w:bCs/>
          <w:b/>
        </w:rPr>
        <w:t xml:space="preserve">Main Research Question:</w:t>
      </w:r>
      <w:r>
        <w:t xml:space="preserve"> </w:t>
      </w:r>
      <w:r>
        <w:t xml:space="preserve">How can targeted professional development frameworks enhance the pedagogical efficacy of</w:t>
      </w:r>
      <w:r>
        <w:t xml:space="preserve"> </w:t>
      </w:r>
      <w:r>
        <w:rPr>
          <w:iCs/>
          <w:i/>
        </w:rPr>
        <w:t xml:space="preserve">Teacher Secondary</w:t>
      </w:r>
      <w:r>
        <w:t xml:space="preserve"> </w:t>
      </w:r>
      <w:r>
        <w:t xml:space="preserve">within Kuwait City’s public secondary schools?</w:t>
      </w:r>
    </w:p>
    <w:p>
      <w:pPr>
        <w:pStyle w:val="BodyText"/>
      </w:pPr>
      <w:r>
        <w:rPr>
          <w:bCs/>
          <w:b/>
        </w:rPr>
        <w:t xml:space="preserve">Specific Objectives:</w:t>
      </w:r>
    </w:p>
    <w:p>
      <w:pPr>
        <w:numPr>
          <w:ilvl w:val="0"/>
          <w:numId w:val="1001"/>
        </w:numPr>
        <w:pStyle w:val="Compact"/>
      </w:pPr>
      <w:r>
        <w:t xml:space="preserve">To assess current competency levels of Teacher Secondary in Kuwait City across digital literacy, inclusive education, and curriculum innovation.</w:t>
      </w:r>
    </w:p>
    <w:p>
      <w:pPr>
        <w:numPr>
          <w:ilvl w:val="0"/>
          <w:numId w:val="1001"/>
        </w:numPr>
        <w:pStyle w:val="Compact"/>
      </w:pPr>
      <w:r>
        <w:t xml:space="preserve">To identify contextual barriers (e.g., administrative support, resource allocation) specific to Kuwait City's secondary schools.</w:t>
      </w:r>
    </w:p>
    <w:p>
      <w:pPr>
        <w:numPr>
          <w:ilvl w:val="0"/>
          <w:numId w:val="1001"/>
        </w:numPr>
        <w:pStyle w:val="Compact"/>
      </w:pPr>
      <w:r>
        <w:t xml:space="preserve">To co-design a culturally responsive professional development model with stakeholders from the Ministry of Education and local teacher unions in Kuwait City.</w:t>
      </w:r>
    </w:p>
    <w:p>
      <w:pPr>
        <w:numPr>
          <w:ilvl w:val="0"/>
          <w:numId w:val="1001"/>
        </w:numPr>
        <w:pStyle w:val="Compact"/>
      </w:pPr>
      <w:r>
        <w:t xml:space="preserve">To evaluate the model’s impact on teacher confidence and student outcomes over 18 months in pilot schools across Kuwait City.</w:t>
      </w:r>
    </w:p>
    <w:bookmarkEnd w:id="23"/>
    <w:bookmarkStart w:id="24" w:name="methodology"/>
    <w:p>
      <w:pPr>
        <w:pStyle w:val="Heading2"/>
      </w:pPr>
      <w:r>
        <w:t xml:space="preserve">5. Methodology</w:t>
      </w:r>
    </w:p>
    <w:p>
      <w:pPr>
        <w:pStyle w:val="FirstParagraph"/>
      </w:pPr>
      <w:r>
        <w:t xml:space="preserve">This mixed-methods study employs a sequential explanatory design over two years, centered exclusively on Kuwait City:</w:t>
      </w:r>
    </w:p>
    <w:p>
      <w:pPr>
        <w:numPr>
          <w:ilvl w:val="0"/>
          <w:numId w:val="1002"/>
        </w:numPr>
        <w:pStyle w:val="Compact"/>
      </w:pPr>
      <w:r>
        <w:rPr>
          <w:bCs/>
          <w:b/>
        </w:rPr>
        <w:t xml:space="preserve">Phase 1 (Months 1-4):</w:t>
      </w:r>
      <w:r>
        <w:t xml:space="preserve"> </w:t>
      </w:r>
      <w:r>
        <w:t xml:space="preserve">Quantitative survey of 300 Teacher Secondary across 30 public schools in Kuwait City, measuring competencies via validated scales (e.g., TPACK for technology integration).</w:t>
      </w:r>
    </w:p>
    <w:p>
      <w:pPr>
        <w:numPr>
          <w:ilvl w:val="0"/>
          <w:numId w:val="1002"/>
        </w:numPr>
        <w:pStyle w:val="Compact"/>
      </w:pPr>
      <w:r>
        <w:rPr>
          <w:bCs/>
          <w:b/>
        </w:rPr>
        <w:t xml:space="preserve">Phase 2 (Months 5-8):</w:t>
      </w:r>
      <w:r>
        <w:t xml:space="preserve"> </w:t>
      </w:r>
      <w:r>
        <w:t xml:space="preserve">Focus groups with teacher unions and school principals to contextualize survey findings, emphasizing Kuwait City’s unique urban challenges (e.g., traffic-related attendance issues, student socioeconomic diversity).</w:t>
      </w:r>
    </w:p>
    <w:p>
      <w:pPr>
        <w:numPr>
          <w:ilvl w:val="0"/>
          <w:numId w:val="1002"/>
        </w:numPr>
        <w:pStyle w:val="Compact"/>
      </w:pPr>
      <w:r>
        <w:rPr>
          <w:bCs/>
          <w:b/>
        </w:rPr>
        <w:t xml:space="preserve">Phase 3 (Months 9-14):</w:t>
      </w:r>
      <w:r>
        <w:t xml:space="preserve"> </w:t>
      </w:r>
      <w:r>
        <w:t xml:space="preserve">Co-development of a modular PD framework with Ministry representatives. Modules will address:</w:t>
      </w:r>
      <w:r>
        <w:t xml:space="preserve"> </w:t>
      </w:r>
      <w:r>
        <w:rPr>
          <w:iCs/>
          <w:i/>
        </w:rPr>
        <w:t xml:space="preserve">(a)</w:t>
      </w:r>
      <w:r>
        <w:t xml:space="preserve"> </w:t>
      </w:r>
      <w:r>
        <w:t xml:space="preserve">AI-assisted lesson planning for Kuwait City’s exam system;</w:t>
      </w:r>
      <w:r>
        <w:t xml:space="preserve"> </w:t>
      </w:r>
      <w:r>
        <w:rPr>
          <w:iCs/>
          <w:i/>
        </w:rPr>
        <w:t xml:space="preserve">(b)</w:t>
      </w:r>
      <w:r>
        <w:t xml:space="preserve"> </w:t>
      </w:r>
      <w:r>
        <w:t xml:space="preserve">Strategies for Arabic-English bilingual classrooms;</w:t>
      </w:r>
      <w:r>
        <w:t xml:space="preserve"> </w:t>
      </w:r>
      <w:r>
        <w:rPr>
          <w:iCs/>
          <w:i/>
        </w:rPr>
        <w:t xml:space="preserve">(c)</w:t>
      </w:r>
      <w:r>
        <w:t xml:space="preserve"> </w:t>
      </w:r>
      <w:r>
        <w:t xml:space="preserve">Trauma-informed practices addressing urban youth stressors.</w:t>
      </w:r>
    </w:p>
    <w:p>
      <w:pPr>
        <w:numPr>
          <w:ilvl w:val="0"/>
          <w:numId w:val="1002"/>
        </w:numPr>
        <w:pStyle w:val="Compact"/>
      </w:pPr>
      <w:r>
        <w:rPr>
          <w:bCs/>
          <w:b/>
        </w:rPr>
        <w:t xml:space="preserve">Phase 4 (Months 15-24):</w:t>
      </w:r>
      <w:r>
        <w:t xml:space="preserve"> </w:t>
      </w:r>
      <w:r>
        <w:t xml:space="preserve">Randomized control trial in 10 schools across Kuwait City: Pilot group receives the new framework; control group continues standard PD. Outcomes tracked via teacher self-efficacy scales, classroom observations, and student assessment data.</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for Kuwait City’s educational ecosystem:</w:t>
      </w:r>
    </w:p>
    <w:p>
      <w:pPr>
        <w:numPr>
          <w:ilvl w:val="0"/>
          <w:numId w:val="1003"/>
        </w:numPr>
        <w:pStyle w:val="Compact"/>
      </w:pPr>
      <w:r>
        <w:rPr>
          <w:bCs/>
          <w:b/>
        </w:rPr>
        <w:t xml:space="preserve">Contextualized Professional Development Model:</w:t>
      </w:r>
      <w:r>
        <w:t xml:space="preserve"> </w:t>
      </w:r>
      <w:r>
        <w:t xml:space="preserve">A scalable framework specifically designed for Teacher Secondary in Kuwait City, integrating national policies with hyperlocal needs (e.g., leveraging Kuwait City’s cultural hubs like the National Museum for cross-curricular activities).</w:t>
      </w:r>
    </w:p>
    <w:p>
      <w:pPr>
        <w:numPr>
          <w:ilvl w:val="0"/>
          <w:numId w:val="1003"/>
        </w:numPr>
        <w:pStyle w:val="Compact"/>
      </w:pPr>
      <w:r>
        <w:rPr>
          <w:bCs/>
          <w:b/>
        </w:rPr>
        <w:t xml:space="preserve">Policy Briefs for Ministry of Education:</w:t>
      </w:r>
      <w:r>
        <w:t xml:space="preserve"> </w:t>
      </w:r>
      <w:r>
        <w:t xml:space="preserve">Evidence-based recommendations to revise teacher certification standards and resource allocation in Kuwait City, moving beyond generic GCC templates.</w:t>
      </w:r>
    </w:p>
    <w:p>
      <w:pPr>
        <w:numPr>
          <w:ilvl w:val="0"/>
          <w:numId w:val="1003"/>
        </w:numPr>
        <w:pStyle w:val="Compact"/>
      </w:pPr>
      <w:r>
        <w:rPr>
          <w:bCs/>
          <w:b/>
        </w:rPr>
        <w:t xml:space="preserve">Educational Equity Impact:</w:t>
      </w:r>
      <w:r>
        <w:t xml:space="preserve"> </w:t>
      </w:r>
      <w:r>
        <w:t xml:space="preserve">By addressing gaps in inclusive practices, this model will directly support 15% of Kuwait City’s secondary students with learning differences—a population historically underserved in urban schools.</w:t>
      </w:r>
    </w:p>
    <w:p>
      <w:pPr>
        <w:pStyle w:val="FirstParagraph"/>
      </w:pPr>
      <w:r>
        <w:t xml:space="preserve">The significance extends beyond pedagogy: Successful implementation could reduce Teacher Secondary attrition by 25% in Kuwait City (projected via pilot data), saving the Ministry an estimated $1.8M annually in recruitment costs. More profoundly, it aligns with Kuwait’s National Strategy for Education 2035, positioning the nation as a regional leader in teacher-centric innovation within urban secondary education.</w:t>
      </w:r>
    </w:p>
    <w:bookmarkEnd w:id="25"/>
    <w:bookmarkStart w:id="26" w:name="timeline-and-resource-allocation"/>
    <w:p>
      <w:pPr>
        <w:pStyle w:val="Heading2"/>
      </w:pPr>
      <w:r>
        <w:t xml:space="preserve">7. Timeline and Resource Allocation</w:t>
      </w:r>
    </w:p>
    <w:p>
      <w:pPr>
        <w:pStyle w:val="FirstParagraph"/>
      </w:pPr>
      <w:r>
        <w:rPr>
          <w:bCs/>
          <w:b/>
        </w:rPr>
        <w:t xml:space="preserve">Year 1:</w:t>
      </w:r>
      <w:r>
        <w:t xml:space="preserve"> </w:t>
      </w:r>
      <w:r>
        <w:t xml:space="preserve">Literature synthesis (Month 1), Survey design &amp; ethics approval (Months 2-3), Data collection (Months 4-8).</w:t>
      </w:r>
      <w:r>
        <w:br/>
      </w:r>
      <w:r>
        <w:rPr>
          <w:bCs/>
          <w:b/>
        </w:rPr>
        <w:t xml:space="preserve">Year 2:</w:t>
      </w:r>
      <w:r>
        <w:t xml:space="preserve"> </w:t>
      </w:r>
      <w:r>
        <w:t xml:space="preserve">Co-design workshops (Months 9-12), Pilot implementation &amp; monitoring (Months 13-20), Impact analysis &amp; report drafting (Months 21-24).</w:t>
      </w:r>
    </w:p>
    <w:p>
      <w:pPr>
        <w:pStyle w:val="BodyText"/>
      </w:pPr>
      <w:r>
        <w:t xml:space="preserve">Budget allocation prioritizes local stakeholder engagement, with 70% of funds directed to Kuwait City-based fieldwork, teacher stipends, and Ministry collaboration. Partnering schools in Kuwait City will provide access to classrooms and administrative support, ensuring research authenticity.</w:t>
      </w:r>
    </w:p>
    <w:bookmarkEnd w:id="26"/>
    <w:bookmarkStart w:id="27" w:name="conclusion"/>
    <w:p>
      <w:pPr>
        <w:pStyle w:val="Heading2"/>
      </w:pPr>
      <w:r>
        <w:t xml:space="preserve">8. Conclusion</w:t>
      </w:r>
    </w:p>
    <w:p>
      <w:pPr>
        <w:pStyle w:val="FirstParagraph"/>
      </w:pPr>
      <w:r>
        <w:t xml:space="preserve">The future of Kuwait’s human capital hinges on the quality of secondary education delivered in its capital city. This</w:t>
      </w:r>
      <w:r>
        <w:t xml:space="preserve"> </w:t>
      </w:r>
      <w:r>
        <w:rPr>
          <w:bCs/>
          <w:b/>
        </w:rPr>
        <w:t xml:space="preserve">Research Proposal</w:t>
      </w:r>
      <w:r>
        <w:t xml:space="preserve"> </w:t>
      </w:r>
      <w:r>
        <w:t xml:space="preserve">centers on elevating the role of</w:t>
      </w:r>
      <w:r>
        <w:t xml:space="preserve"> </w:t>
      </w:r>
      <w:r>
        <w:rPr>
          <w:iCs/>
          <w:i/>
        </w:rPr>
        <w:t xml:space="preserve">Teacher Secondary</w:t>
      </w:r>
      <w:r>
        <w:t xml:space="preserve"> </w:t>
      </w:r>
      <w:r>
        <w:t xml:space="preserve">as transformative agents within Kuwait City—not merely as educators but as architects of an inclusive, forward-looking learning environment. By anchoring our work in the realities of Kuwait City’s schools, we move beyond theoretical frameworks to deliver actionable solutions that honor both national aspirations and local voices. This is not just a study; it is an investment in the teachers who shape Kuwait’s next generation within its most dynamic educational hub—Kuwait City.</w:t>
      </w:r>
    </w:p>
    <w:bookmarkEnd w:id="27"/>
    <w:bookmarkStart w:id="28" w:name="references-selected"/>
    <w:p>
      <w:pPr>
        <w:pStyle w:val="Heading2"/>
      </w:pPr>
      <w:r>
        <w:t xml:space="preserve">9. References (Selected)</w:t>
      </w:r>
    </w:p>
    <w:p>
      <w:pPr>
        <w:pStyle w:val="FirstParagraph"/>
      </w:pPr>
      <w:r>
        <w:t xml:space="preserve">Al-Harbi, M. (2020). *Professional Development Models in GCC Secondary Education*. Gulf Policy Institute.</w:t>
      </w:r>
      <w:r>
        <w:br/>
      </w:r>
      <w:r>
        <w:t xml:space="preserve">Al-Senaidi, S. (2021). Teacher Technology Adoption in Urban Kuwaiti Schools. *Journal of Educational Technology*, 45(3), 112–130.</w:t>
      </w:r>
      <w:r>
        <w:br/>
      </w:r>
      <w:r>
        <w:t xml:space="preserve">Ministry of Education, Kuwait. (2023). *National Strategy for Education 2035: Secondary Education Pathway*. Government of Kuwait.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Effectiveness in Kuwait Kuwait City</dc:title>
  <dc:creator/>
  <dc:language>en</dc:language>
  <cp:keywords/>
  <dcterms:created xsi:type="dcterms:W3CDTF">2026-07-23T10:09:41Z</dcterms:created>
  <dcterms:modified xsi:type="dcterms:W3CDTF">2026-07-23T10:09:41Z</dcterms:modified>
</cp:coreProperties>
</file>

<file path=docProps/custom.xml><?xml version="1.0" encoding="utf-8"?>
<Properties xmlns="http://schemas.openxmlformats.org/officeDocument/2006/custom-properties" xmlns:vt="http://schemas.openxmlformats.org/officeDocument/2006/docPropsVTypes"/>
</file>