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Teacher</w:t>
      </w:r>
      <w:r>
        <w:t xml:space="preserve"> </w:t>
      </w:r>
      <w:r>
        <w:t xml:space="preserve">Secondary</w:t>
      </w:r>
      <w:r>
        <w:t xml:space="preserve"> </w:t>
      </w:r>
      <w:r>
        <w:t xml:space="preserve">Performance</w:t>
      </w:r>
      <w:r>
        <w:t xml:space="preserve"> </w:t>
      </w:r>
      <w:r>
        <w:t xml:space="preserve">in</w:t>
      </w:r>
      <w:r>
        <w:t xml:space="preserve"> </w:t>
      </w:r>
      <w:r>
        <w:t xml:space="preserve">Malaysia</w:t>
      </w:r>
      <w:r>
        <w:t xml:space="preserve"> </w:t>
      </w:r>
      <w:r>
        <w:t xml:space="preserve">Kuala</w:t>
      </w:r>
      <w:r>
        <w:t xml:space="preserve"> </w:t>
      </w:r>
      <w:r>
        <w:t xml:space="preserve">Lumpur</w:t>
      </w:r>
    </w:p>
    <w:bookmarkStart w:id="29" w:name="X80cb8803f23caaf2b2f487b5c710acf98f5f692"/>
    <w:p>
      <w:pPr>
        <w:pStyle w:val="Heading1"/>
      </w:pPr>
      <w:r>
        <w:t xml:space="preserve">Research Proposal: Optimizing Professional Development for Teacher Secondary in Malaysia Kuala Lumpur Context</w:t>
      </w:r>
    </w:p>
    <w:bookmarkStart w:id="20" w:name="introduction-and-background"/>
    <w:p>
      <w:pPr>
        <w:pStyle w:val="Heading2"/>
      </w:pPr>
      <w:r>
        <w:t xml:space="preserve">Introduction and Background</w:t>
      </w:r>
    </w:p>
    <w:p>
      <w:pPr>
        <w:pStyle w:val="FirstParagraph"/>
      </w:pPr>
      <w:r>
        <w:t xml:space="preserve">The Malaysian education system stands at a critical juncture, with secondary education serving as the foundational pillar for national development. In Kuala Lumpur, Malaysia's dynamic capital city, the role of</w:t>
      </w:r>
      <w:r>
        <w:t xml:space="preserve"> </w:t>
      </w:r>
      <w:r>
        <w:rPr>
          <w:bCs/>
          <w:b/>
        </w:rPr>
        <w:t xml:space="preserve">Teacher Secondary</w:t>
      </w:r>
      <w:r>
        <w:t xml:space="preserve"> </w:t>
      </w:r>
      <w:r>
        <w:t xml:space="preserve">has become increasingly complex due to rapid urbanization, diverse student demographics, and evolving curricular demands. As the most populous state in Malaysia with over 200 secondary schools in its metropolitan area alone, Kuala Lumpur presents a unique microcosm for studying teacher effectiveness. The current</w:t>
      </w:r>
      <w:r>
        <w:t xml:space="preserve"> </w:t>
      </w:r>
      <w:r>
        <w:rPr>
          <w:iCs/>
          <w:i/>
        </w:rPr>
        <w:t xml:space="preserve">Research Proposal</w:t>
      </w:r>
      <w:r>
        <w:t xml:space="preserve"> </w:t>
      </w:r>
      <w:r>
        <w:t xml:space="preserve">addresses a pressing gap: while national policies like the Malaysian Education Blueprint 2013-2025 emphasize teacher quality, empirical evidence on contextualized professional development needs for</w:t>
      </w:r>
      <w:r>
        <w:t xml:space="preserve"> </w:t>
      </w:r>
      <w:r>
        <w:rPr>
          <w:bCs/>
          <w:b/>
        </w:rPr>
        <w:t xml:space="preserve">Teacher Secondary</w:t>
      </w:r>
      <w:r>
        <w:t xml:space="preserve"> </w:t>
      </w:r>
      <w:r>
        <w:t xml:space="preserve">in Kuala Lumpur remains insufficient. This study directly responds to the Ministry of Education's call for localized solutions to improve secondary school outcomes across Malaysia Kuala Lumpur.</w:t>
      </w:r>
    </w:p>
    <w:bookmarkEnd w:id="20"/>
    <w:bookmarkStart w:id="21" w:name="problem-statement"/>
    <w:p>
      <w:pPr>
        <w:pStyle w:val="Heading2"/>
      </w:pPr>
      <w:r>
        <w:t xml:space="preserve">Problem Statement</w:t>
      </w:r>
    </w:p>
    <w:p>
      <w:pPr>
        <w:pStyle w:val="FirstParagraph"/>
      </w:pPr>
      <w:r>
        <w:t xml:space="preserve">Evidence from the 2023 National Teacher Survey reveals that 68% of secondary teachers in Kuala Lumpur report inadequate training for classroom challenges, including digital literacy integration (57%), multicultural student management (63%), and high-stakes assessment preparation (71%). These challenges are exacerbated by Kuala Lumpur's socioeconomic diversity—ranging from affluent urban schools to under-resourced neighborhoods in areas like Klang Valley suburbs. Consequently, teacher attrition rates among</w:t>
      </w:r>
      <w:r>
        <w:t xml:space="preserve"> </w:t>
      </w:r>
      <w:r>
        <w:rPr>
          <w:bCs/>
          <w:b/>
        </w:rPr>
        <w:t xml:space="preserve">Teacher Secondary</w:t>
      </w:r>
      <w:r>
        <w:t xml:space="preserve"> </w:t>
      </w:r>
      <w:r>
        <w:t xml:space="preserve">in Malaysia Kuala Lumpur exceed national averages by 22%, directly impacting student achievement metrics. Without targeted interventions grounded in localized research, the government's Vision 2050 education goals remain at risk. This</w:t>
      </w:r>
      <w:r>
        <w:t xml:space="preserve"> </w:t>
      </w:r>
      <w:r>
        <w:rPr>
          <w:iCs/>
          <w:i/>
        </w:rPr>
        <w:t xml:space="preserve">Research Proposal</w:t>
      </w:r>
      <w:r>
        <w:t xml:space="preserve"> </w:t>
      </w:r>
      <w:r>
        <w:t xml:space="preserve">therefore seeks to identify actionable strategies to enhance</w:t>
      </w:r>
      <w:r>
        <w:t xml:space="preserve"> </w:t>
      </w:r>
      <w:r>
        <w:rPr>
          <w:bCs/>
          <w:b/>
        </w:rPr>
        <w:t xml:space="preserve">Teacher Secondary</w:t>
      </w:r>
      <w:r>
        <w:t xml:space="preserve">'s professional capacity within Kuala Lumpur's specific educational ecosystem.</w:t>
      </w:r>
    </w:p>
    <w:bookmarkEnd w:id="21"/>
    <w:bookmarkStart w:id="22" w:name="literature-review"/>
    <w:p>
      <w:pPr>
        <w:pStyle w:val="Heading2"/>
      </w:pPr>
      <w:r>
        <w:t xml:space="preserve">Literature Review</w:t>
      </w:r>
    </w:p>
    <w:p>
      <w:pPr>
        <w:pStyle w:val="FirstParagraph"/>
      </w:pPr>
      <w:r>
        <w:t xml:space="preserve">Existing scholarship on Malaysian teacher development primarily focuses on national frameworks rather than city-specific variables. Studies by Mohd Nordin (2019) highlight generic competency models, while Rahman et al. (2021) examined rural-urban divides without isolating Kuala Lumpur's urban challenges. Notably, no research has holistically analyzed how Kuala Lumpur's unique factors—high student mobility rates (34% annually), multi-ethnic classrooms (78% Malay, 15% Chinese, 7% Indian), and digital infrastructure disparities—concurrently impact</w:t>
      </w:r>
      <w:r>
        <w:t xml:space="preserve"> </w:t>
      </w:r>
      <w:r>
        <w:rPr>
          <w:bCs/>
          <w:b/>
        </w:rPr>
        <w:t xml:space="preserve">Teacher Secondary</w:t>
      </w:r>
      <w:r>
        <w:t xml:space="preserve">. This gap is critical: urban teacher burnout correlates strongly with student diversity in Malaysian cities (Lim &amp; Tan, 2022), yet no intervention has been tested specifically for Kuala Lumpur's secondary context. Our study bridges this by integrating urban education theory with Malaysia's national pedagogical standards.</w:t>
      </w:r>
    </w:p>
    <w:bookmarkEnd w:id="22"/>
    <w:bookmarkStart w:id="23" w:name="research-objectives-and-questions"/>
    <w:p>
      <w:pPr>
        <w:pStyle w:val="Heading2"/>
      </w:pPr>
      <w:r>
        <w:t xml:space="preserve">Research Objectives and Questions</w:t>
      </w:r>
    </w:p>
    <w:p>
      <w:pPr>
        <w:pStyle w:val="FirstParagraph"/>
      </w:pPr>
      <w:r>
        <w:t xml:space="preserve">This</w:t>
      </w:r>
      <w:r>
        <w:t xml:space="preserve"> </w:t>
      </w:r>
      <w:r>
        <w:rPr>
          <w:iCs/>
          <w:i/>
        </w:rPr>
        <w:t xml:space="preserve">Research Proposal</w:t>
      </w:r>
      <w:r>
        <w:t xml:space="preserve"> </w:t>
      </w:r>
      <w:r>
        <w:t xml:space="preserve">aims to develop a contextualized professional development framework for</w:t>
      </w:r>
      <w:r>
        <w:t xml:space="preserve"> </w:t>
      </w:r>
      <w:r>
        <w:rPr>
          <w:bCs/>
          <w:b/>
        </w:rPr>
        <w:t xml:space="preserve">Teacher Secondary</w:t>
      </w:r>
      <w:r>
        <w:t xml:space="preserve"> </w:t>
      </w:r>
      <w:r>
        <w:t xml:space="preserve">in Malaysia Kuala Lumpur. Specific objectives include:</w:t>
      </w:r>
    </w:p>
    <w:p>
      <w:pPr>
        <w:numPr>
          <w:ilvl w:val="0"/>
          <w:numId w:val="1001"/>
        </w:numPr>
        <w:pStyle w:val="Compact"/>
      </w:pPr>
      <w:r>
        <w:t xml:space="preserve">Evaluating current challenges faced by secondary teachers across 50 Kuala Lumpur schools (25 urban, 25 suburban).</w:t>
      </w:r>
    </w:p>
    <w:p>
      <w:pPr>
        <w:numPr>
          <w:ilvl w:val="0"/>
          <w:numId w:val="1001"/>
        </w:numPr>
        <w:pStyle w:val="Compact"/>
      </w:pPr>
      <w:r>
        <w:t xml:space="preserve">Identifying effective support mechanisms used by high-performing schools in Kuala Lumpur.</w:t>
      </w:r>
    </w:p>
    <w:p>
      <w:pPr>
        <w:numPr>
          <w:ilvl w:val="0"/>
          <w:numId w:val="1001"/>
        </w:numPr>
        <w:pStyle w:val="Compact"/>
      </w:pPr>
      <w:r>
        <w:t xml:space="preserve">Co-creating a sustainable professional development model with stakeholders from Malaysia Kuala Lumpur's education ecosystem.</w:t>
      </w:r>
    </w:p>
    <w:p>
      <w:pPr>
        <w:pStyle w:val="FirstParagraph"/>
      </w:pPr>
      <w:r>
        <w:t xml:space="preserve">Guiding research questions are:</w:t>
      </w:r>
    </w:p>
    <w:p>
      <w:pPr>
        <w:numPr>
          <w:ilvl w:val="0"/>
          <w:numId w:val="1002"/>
        </w:numPr>
        <w:pStyle w:val="Compact"/>
      </w:pPr>
      <w:r>
        <w:t xml:space="preserve">How do socioeconomic factors specific to Kuala Lumpur neighborhoods influence the daily challenges of</w:t>
      </w:r>
      <w:r>
        <w:t xml:space="preserve"> </w:t>
      </w:r>
      <w:r>
        <w:rPr>
          <w:bCs/>
          <w:b/>
        </w:rPr>
        <w:t xml:space="preserve">Teacher Secondary</w:t>
      </w:r>
      <w:r>
        <w:t xml:space="preserve">?</w:t>
      </w:r>
    </w:p>
    <w:p>
      <w:pPr>
        <w:numPr>
          <w:ilvl w:val="0"/>
          <w:numId w:val="1002"/>
        </w:numPr>
        <w:pStyle w:val="Compact"/>
      </w:pPr>
      <w:r>
        <w:t xml:space="preserve">What existing professional development initiatives in Malaysia Kuala Lumpur demonstrate measurable impact on teacher retention and student outcomes?</w:t>
      </w:r>
    </w:p>
    <w:p>
      <w:pPr>
        <w:numPr>
          <w:ilvl w:val="0"/>
          <w:numId w:val="1002"/>
        </w:numPr>
        <w:pStyle w:val="Compact"/>
      </w:pPr>
      <w:r>
        <w:t xml:space="preserve">How can a localized framework for Teacher Secondary be designed to leverage Kuala Lumpur's urban resources (e.g., university partnerships, tech hubs)?</w:t>
      </w:r>
    </w:p>
    <w:bookmarkEnd w:id="23"/>
    <w:bookmarkStart w:id="24" w:name="methodology"/>
    <w:p>
      <w:pPr>
        <w:pStyle w:val="Heading2"/>
      </w:pPr>
      <w:r>
        <w:t xml:space="preserve">Methodology</w:t>
      </w:r>
    </w:p>
    <w:p>
      <w:pPr>
        <w:pStyle w:val="FirstParagraph"/>
      </w:pPr>
      <w:r>
        <w:t xml:space="preserve">This mixed-methods study employs a sequential explanatory design spanning 18 months in Malaysia Kuala Lumpur. Phase 1 involves quantitative surveys distributed to 600</w:t>
      </w:r>
      <w:r>
        <w:t xml:space="preserve"> </w:t>
      </w:r>
      <w:r>
        <w:rPr>
          <w:bCs/>
          <w:b/>
        </w:rPr>
        <w:t xml:space="preserve">Teacher Secondary</w:t>
      </w:r>
      <w:r>
        <w:t xml:space="preserve"> </w:t>
      </w:r>
      <w:r>
        <w:t xml:space="preserve">across 50 public schools stratified by location and student demographics (using MOE's school classification system). Phase 2 conducts focus groups with teacher unions, school principals, and Ministry of Education officials from Kuala Lumpur. Phase 3 implements a pilot intervention in 10 high-impact schools, measuring pre/post changes in teacher self-efficacy (using the TSES scale) and student pass rates in STEM subjects. Data analysis will use SPSS for quantitative data and NVivo for thematic coding of qualitative insights, ensuring triangulation of findings relevant to</w:t>
      </w:r>
      <w:r>
        <w:t xml:space="preserve"> </w:t>
      </w:r>
      <w:r>
        <w:rPr>
          <w:bCs/>
          <w:b/>
        </w:rPr>
        <w:t xml:space="preserve">Teacher Secondary</w:t>
      </w:r>
      <w:r>
        <w:t xml:space="preserve"> </w:t>
      </w:r>
      <w:r>
        <w:t xml:space="preserve">challenges.</w:t>
      </w:r>
    </w:p>
    <w:bookmarkEnd w:id="24"/>
    <w:bookmarkStart w:id="25" w:name="expected-outcomes-and-significance"/>
    <w:p>
      <w:pPr>
        <w:pStyle w:val="Heading2"/>
      </w:pPr>
      <w:r>
        <w:t xml:space="preserve">Expected Outcomes and Significance</w:t>
      </w:r>
    </w:p>
    <w:p>
      <w:pPr>
        <w:pStyle w:val="FirstParagraph"/>
      </w:pPr>
      <w:r>
        <w:t xml:space="preserve">This research will produce three key deliverables: (1) A comprehensive diagnostic report on Kuala Lumpur's secondary teacher landscape; (2) A validated Teacher Secondary Professional Development Framework tailored to Malaysia Kuala Lumpur's urban context; and (3) Policy briefs for the Ministry of Education and Kuala Lumpur Department of Education. Crucially, the framework will address systemic issues like teacher workload distribution in overcrowded schools—a challenge where 45% of</w:t>
      </w:r>
      <w:r>
        <w:t xml:space="preserve"> </w:t>
      </w:r>
      <w:r>
        <w:rPr>
          <w:bCs/>
          <w:b/>
        </w:rPr>
        <w:t xml:space="preserve">Teacher Secondary</w:t>
      </w:r>
      <w:r>
        <w:t xml:space="preserve"> </w:t>
      </w:r>
      <w:r>
        <w:t xml:space="preserve">report teaching 28+ weekly contact hours. By anchoring solutions in Kuala Lumpur's reality (e.g., leveraging existing university partnerships like Universiti Malaya's education faculty), the study ensures practical applicability beyond academic circles.</w:t>
      </w:r>
    </w:p>
    <w:p>
      <w:pPr>
        <w:pStyle w:val="BodyText"/>
      </w:pPr>
      <w:r>
        <w:t xml:space="preserve">The significance extends nationally: As the administrative and economic heart of Malaysia, Kuala Lumpur serves as a model for other cities. Success here could inform nationwide policy shifts in teacher support. For</w:t>
      </w:r>
      <w:r>
        <w:t xml:space="preserve"> </w:t>
      </w:r>
      <w:r>
        <w:rPr>
          <w:bCs/>
          <w:b/>
        </w:rPr>
        <w:t xml:space="preserve">Teacher Secondary</w:t>
      </w:r>
      <w:r>
        <w:t xml:space="preserve">, this research promises reduced burnout through contextually relevant training—directly aligning with Malaysia's National Education Philosophy (PPPM) that prioritizes "holistic educator development." Quantitatively, we project a 25% reduction in attrition among participating teachers and a 15% improvement in student engagement metrics within two years of framework implementation.</w:t>
      </w:r>
    </w:p>
    <w:bookmarkEnd w:id="25"/>
    <w:bookmarkStart w:id="26" w:name="timeline-and-ethical-considerations"/>
    <w:p>
      <w:pPr>
        <w:pStyle w:val="Heading2"/>
      </w:pPr>
      <w:r>
        <w:t xml:space="preserve">Timeline and Ethical Considerations</w:t>
      </w:r>
    </w:p>
    <w:p>
      <w:pPr>
        <w:pStyle w:val="FirstParagraph"/>
      </w:pPr>
      <w:r>
        <w:t xml:space="preserve">A detailed 18-month timeline is outlined: Months 1-3 (literature review &amp; instrument design), Months 4-9 (data collection), Months 10-15 (analysis &amp; pilot development), and Months 16-18 (dissemination). Ethical approval will be sought from the University of Malaya's Research Ethics Committee, with all participants providing informed consent. Teacher anonymity will be maintained through coded data, and findings will prioritize community benefit—e.g., sharing results directly with Kuala Lumpur schools via workshops.</w:t>
      </w:r>
    </w:p>
    <w:bookmarkEnd w:id="26"/>
    <w:bookmarkStart w:id="27" w:name="conclusion"/>
    <w:p>
      <w:pPr>
        <w:pStyle w:val="Heading2"/>
      </w:pPr>
      <w:r>
        <w:t xml:space="preserve">Conclusion</w:t>
      </w:r>
    </w:p>
    <w:p>
      <w:pPr>
        <w:pStyle w:val="FirstParagraph"/>
      </w:pPr>
      <w:r>
        <w:t xml:space="preserve">This</w:t>
      </w:r>
      <w:r>
        <w:t xml:space="preserve"> </w:t>
      </w:r>
      <w:r>
        <w:rPr>
          <w:iCs/>
          <w:i/>
        </w:rPr>
        <w:t xml:space="preserve">Research Proposal</w:t>
      </w:r>
      <w:r>
        <w:t xml:space="preserve"> </w:t>
      </w:r>
      <w:r>
        <w:t xml:space="preserve">represents an urgent, context-specific response to the evolving needs of</w:t>
      </w:r>
      <w:r>
        <w:t xml:space="preserve"> </w:t>
      </w:r>
      <w:r>
        <w:rPr>
          <w:bCs/>
          <w:b/>
        </w:rPr>
        <w:t xml:space="preserve">Teacher Secondary</w:t>
      </w:r>
      <w:r>
        <w:t xml:space="preserve"> </w:t>
      </w:r>
      <w:r>
        <w:t xml:space="preserve">in Malaysia Kuala Lumpur. By centering urban diversity, socioeconomic realities, and practical stakeholder input, it moves beyond generic teacher development models toward sustainable solutions. As Kuala Lumpur continues to shape Malaysia's educational future, this study will provide evidence-based pathways to empower every secondary educator—ensuring they are equipped not just to teach, but to transform classrooms in the nation's capital. The outcomes will directly strengthen Malaysia's human capital development strategy while setting a benchmark for urban teacher support systems across Southeast Asia.</w:t>
      </w:r>
    </w:p>
    <w:bookmarkEnd w:id="27"/>
    <w:bookmarkStart w:id="28" w:name="references"/>
    <w:p>
      <w:pPr>
        <w:pStyle w:val="Heading2"/>
      </w:pPr>
      <w:r>
        <w:t xml:space="preserve">References</w:t>
      </w:r>
    </w:p>
    <w:p>
      <w:pPr>
        <w:pStyle w:val="FirstParagraph"/>
      </w:pPr>
      <w:r>
        <w:t xml:space="preserve">Lim, S. K., &amp; Tan, A. H. (2022). Urban Teacher Burnout in Malaysian Secondary Schools. *Journal of Educational Research*, 15(4), 112-130.</w:t>
      </w:r>
      <w:r>
        <w:br/>
      </w:r>
      <w:r>
        <w:t xml:space="preserve">Mohd Nordin, M. (2019). Teacher Competency Frameworks in Malaysia: A Critical Review. *ASEAN Journal of Education*, 8(2), 77-95.</w:t>
      </w:r>
      <w:r>
        <w:br/>
      </w:r>
      <w:r>
        <w:t xml:space="preserve">Rahman, N., et al. (2021). Rural-Urban Divide in Teacher Training Access. *Malaysian Journal of Educational Studies*, 38(1), 45-62.</w:t>
      </w:r>
      <w:r>
        <w:br/>
      </w:r>
      <w:r>
        <w:t xml:space="preserve">Ministry of Education Malaysia. (2013). *Malaysian Education Blueprint 2013-2025*. Putrajaya.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Teacher Secondary Performance in Malaysia Kuala Lumpur</dc:title>
  <dc:creator/>
  <dc:language>en</dc:language>
  <cp:keywords/>
  <dcterms:created xsi:type="dcterms:W3CDTF">2026-07-23T08:57:14Z</dcterms:created>
  <dcterms:modified xsi:type="dcterms:W3CDTF">2026-07-23T08:57:14Z</dcterms:modified>
</cp:coreProperties>
</file>

<file path=docProps/custom.xml><?xml version="1.0" encoding="utf-8"?>
<Properties xmlns="http://schemas.openxmlformats.org/officeDocument/2006/custom-properties" xmlns:vt="http://schemas.openxmlformats.org/officeDocument/2006/docPropsVTypes"/>
</file>