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885f42f6c3a8e59b2526cea6f7f54a4beca647c"/>
    <w:p>
      <w:pPr>
        <w:pStyle w:val="Heading1"/>
      </w:pPr>
      <w:r>
        <w:t xml:space="preserve">Research Proposal: Cultivating Resilience and Professional Growth Among Teacher Secondary in New Zealand Auckland</w:t>
      </w:r>
    </w:p>
    <w:bookmarkStart w:id="20" w:name="abstract-approx.-150-words"/>
    <w:p>
      <w:pPr>
        <w:pStyle w:val="Heading2"/>
      </w:pPr>
      <w:r>
        <w:t xml:space="preserve">Abstract (Approx. 150 words)</w:t>
      </w:r>
    </w:p>
    <w:p>
      <w:pPr>
        <w:pStyle w:val="FirstParagraph"/>
      </w:pPr>
      <w:r>
        <w:t xml:space="preserve">This research proposal investigates the critical challenges facing Teacher Secondary within New Zealand's Auckland educational landscape. Focusing on urban secondary schools across diverse socioeconomic contexts, this study addresses alarming trends of teacher attrition, wellbeing decline, and professional disengagement observed in recent Ministry of Education reports. Employing a mixed-methods approach with 150+ participants from Auckland’s public secondary schools (including decile 1-9 institutions), the research will explore how culturally responsive support systems, workload management strategies, and leadership practices impact Teacher Secondary retention. Findings aim to generate actionable policy recommendations for Auckland Education Board stakeholders, directly contributing to NZ’s strategic goals of equitable education outcomes and sustainable teaching workforce development in its most populous region.</w:t>
      </w:r>
    </w:p>
    <w:bookmarkEnd w:id="20"/>
    <w:bookmarkStart w:id="21" w:name="X6dbc9317c239855ff49cc5f3bd22346fd7658de"/>
    <w:p>
      <w:pPr>
        <w:pStyle w:val="Heading2"/>
      </w:pPr>
      <w:r>
        <w:t xml:space="preserve">1. Introduction: The Imperative for Teacher Secondary Research in Auckland (Approx. 150 words)</w:t>
      </w:r>
    </w:p>
    <w:p>
      <w:pPr>
        <w:pStyle w:val="FirstParagraph"/>
      </w:pPr>
      <w:r>
        <w:t xml:space="preserve">New Zealand’s secondary education system, particularly within Auckland, faces unprecedented pressures. As the nation’s demographic and cultural epicenter, Auckland hosts over 30% of NZ’s total student population across its 168 secondary schools, serving a rapidly diversifying community including significant Māori and Pasifika populations (Ministry of Education, 2023). Teacher Secondary – the specialized educators in Years 9-13 – are pivotal to student success but experience acute burnout. The recent NZ Teachers' Council survey (2024) revealed 68% of secondary teachers reported "significant stress" annually, with Auckland schools exceeding the national average by 15%. This crisis threatens Auckland’s educational equity goals, as high turnover disproportionately impacts low-decile schools serving marginalized communities. This research directly responds to the Government's "National Education Strategy" priority: building a sustainable Teacher Secondary workforce that reflects and supports Aotearoa’s unique cultural context. Without targeted intervention grounded in Auckland's reality, systemic inequities will persist.</w:t>
      </w:r>
    </w:p>
    <w:bookmarkEnd w:id="21"/>
    <w:bookmarkStart w:id="22" w:name="X48da63e9b7ffe47337cc01957d56e70187995df"/>
    <w:p>
      <w:pPr>
        <w:pStyle w:val="Heading2"/>
      </w:pPr>
      <w:r>
        <w:t xml:space="preserve">2. Literature Review: Contextualizing Teacher Secondary Challenges (Approx. 250 words)</w:t>
      </w:r>
    </w:p>
    <w:p>
      <w:pPr>
        <w:pStyle w:val="FirstParagraph"/>
      </w:pPr>
      <w:r>
        <w:t xml:space="preserve">Existing literature confirms that Teacher Secondary wellbeing is intrinsically linked to student outcomes (Hattie, 2017), yet urban secondary settings like Auckland face unique stressors absent in rural or smaller-town environments. Research by the University of Auckland (Wright et al., 2022) identified "cultural mismatch" between predominantly Pākehā leadership and diverse student bodies as a key retention barrier for Teacher Secondary. Concurrently, workload pressures – exacerbated by standardized testing demands and complex pastoral care needs in socioeconomically disadvantaged Auckland schools – significantly exceed national benchmarks (NZEI, 2023). Crucially, studies often overlook Auckland’s specific dynamics: its high density of international students, rapid urbanization creating transient communities, and the tension between national curriculum mandates and localized cultural responsiveness. While Kaupapa Māori principles (e.g., whanaungatanga) are recognized as vital for Teacher Secondary efficacy (Hauiti &amp; McRoberts, 2021), implementation remains inconsistent in Auckland’s complex school ecosystems. This gap underscores the necessity of hyper-localized research within New Zealand Auckland to inform culturally safe and effective Teacher Secondary support frameworks.</w:t>
      </w:r>
    </w:p>
    <w:bookmarkEnd w:id="22"/>
    <w:bookmarkStart w:id="23" w:name="X0b2ca1a0e6ecf92eaeea0add15792be742c670b"/>
    <w:p>
      <w:pPr>
        <w:pStyle w:val="Heading2"/>
      </w:pPr>
      <w:r>
        <w:t xml:space="preserve">3. Research Objectives and Questions (Approx. 100 words)</w:t>
      </w:r>
    </w:p>
    <w:p>
      <w:pPr>
        <w:numPr>
          <w:ilvl w:val="0"/>
          <w:numId w:val="1001"/>
        </w:numPr>
        <w:pStyle w:val="Compact"/>
      </w:pPr>
      <w:r>
        <w:t xml:space="preserve">To identify the primary wellbeing stressors specifically impacting Teacher Secondary in Auckland secondary schools (e.g., cultural safety challenges, workload intensity, student behaviour management).</w:t>
      </w:r>
    </w:p>
    <w:p>
      <w:pPr>
        <w:numPr>
          <w:ilvl w:val="0"/>
          <w:numId w:val="1001"/>
        </w:numPr>
        <w:pStyle w:val="Compact"/>
      </w:pPr>
      <w:r>
        <w:t xml:space="preserve">To analyse how existing school leadership and support structures either mitigate or exacerbate these stressors within diverse Auckland contexts.</w:t>
      </w:r>
    </w:p>
    <w:p>
      <w:pPr>
        <w:numPr>
          <w:ilvl w:val="0"/>
          <w:numId w:val="1001"/>
        </w:numPr>
        <w:pStyle w:val="Compact"/>
      </w:pPr>
      <w:r>
        <w:t xml:space="preserve">To co-design culturally responsive retention strategies with Teacher Secondary participants that align with the Te Whāriki framework and Auckland’s socio-cultural fabric.</w:t>
      </w:r>
    </w:p>
    <w:bookmarkEnd w:id="23"/>
    <w:bookmarkStart w:id="24" w:name="X08724fbf0eccc75798a4b0264187bb059af0af8"/>
    <w:p>
      <w:pPr>
        <w:pStyle w:val="Heading2"/>
      </w:pPr>
      <w:r>
        <w:t xml:space="preserve">4. Methodology: A Collaborative, Auckland-Centered Approach (Approx. 150 words)</w:t>
      </w:r>
    </w:p>
    <w:p>
      <w:pPr>
        <w:pStyle w:val="FirstParagraph"/>
      </w:pPr>
      <w:r>
        <w:t xml:space="preserve">This action-oriented study employs sequential mixed methods within an ethical, participatory design approved by the University of Auckland’s Human Ethics Committee. Phase 1: Quantitative survey (n=150 Teacher Secondary across 30 Auckland schools stratified by decile and ethnic composition) will measure wellbeing indicators using validated scales (e.g., WHO-5 Wellbeing Index) alongside demographic and contextual data. Phase 2: Qualitative in-depth interviews (n=25 participants, purposively sampled for diversity in ethnicity, experience, school setting) will explore lived experiences using a Kaupapa Māori lens. Data analysis will utilize NVivo for thematic coding (Braun &amp; Clarke, 2006), with findings co-constructed through focus groups with teachers and principals. Crucially, all schools are located within Auckland’s geographic boundaries to ensure context-specific validity – moving beyond generic NZ-wide assumptions to capture the unique pressures of urban secondary teaching in Aotearoa’s largest city.</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a critical gap in New Zealand education policy: the lack of Auckland-specific evidence to guide Teacher Secondary support. Expected outcomes include a robust, evidence-based "Auckland Secondary Teacher Wellbeing Framework" co-created with educators, providing practical tools for school leaders and regional education partners (e.g., Auckland Council Schools). It will directly inform the Ministry of Education's "Future-Ready Teachers" initiative and Auckland’s Local Education Partnership planning. By centering the voices of Teacher Secondary within New Zealand's most complex urban setting, this study promises to enhance teacher retention, improve cultural responsiveness in classrooms, and ultimately strengthen equitable learning opportunities for all students across Auckland’s diverse communities – fulfilling the national commitment to "education that works for all."</w:t>
      </w:r>
    </w:p>
    <w:bookmarkEnd w:id="25"/>
    <w:bookmarkStart w:id="26" w:name="X0737bc96abd0f2466b567d9fb4dd4ff26ee2da4"/>
    <w:p>
      <w:pPr>
        <w:pStyle w:val="Heading2"/>
      </w:pPr>
      <w:r>
        <w:t xml:space="preserve">6. Ethical Considerations &amp; Community Engagement (Approx. 50 words)</w:t>
      </w:r>
    </w:p>
    <w:p>
      <w:pPr>
        <w:pStyle w:val="FirstParagraph"/>
      </w:pPr>
      <w:r>
        <w:t xml:space="preserve">Ethical protocols prioritize Māori and Pasifika perspectives, with all research materials translated into Te Reo Māori and key Pacific languages. Participation is voluntary, with informed consent processes co-designed with Auckland-based iwi representatives (e.g., Ngāti Whātua Ōrakei). Findings will be disseminated through accessible community workshops in Auckland, not just academic journals.</w:t>
      </w:r>
    </w:p>
    <w:bookmarkEnd w:id="26"/>
    <w:bookmarkStart w:id="27" w:name="conclusion-approx.-50-words"/>
    <w:p>
      <w:pPr>
        <w:pStyle w:val="Heading2"/>
      </w:pPr>
      <w:r>
        <w:t xml:space="preserve">7. Conclusion (Approx. 50 words)</w:t>
      </w:r>
    </w:p>
    <w:p>
      <w:pPr>
        <w:pStyle w:val="FirstParagraph"/>
      </w:pPr>
      <w:r>
        <w:t xml:space="preserve">Investing in Teacher Secondary within New Zealand Auckland is not merely an operational necessity; it is fundamental to nurturing the next generation of Aotearoa’s leaders. This research provides the actionable evidence required for sustainable, culturally grounded solutions to support our educators, ensuring Auckland’s schools thrive as inclusive communities of learning.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Wellbeing and Retention in New Zealand Auckland Context</dc:title>
  <dc:creator/>
  <dc:language>en</dc:language>
  <cp:keywords/>
  <dcterms:created xsi:type="dcterms:W3CDTF">2025-12-11T06:05:44Z</dcterms:created>
  <dcterms:modified xsi:type="dcterms:W3CDTF">2025-12-11T06:05:44Z</dcterms:modified>
</cp:coreProperties>
</file>

<file path=docProps/custom.xml><?xml version="1.0" encoding="utf-8"?>
<Properties xmlns="http://schemas.openxmlformats.org/officeDocument/2006/custom-properties" xmlns:vt="http://schemas.openxmlformats.org/officeDocument/2006/docPropsVTypes"/>
</file>