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e0c77cb37d52ea5ab64447122fe9a3266433777"/>
    <w:p>
      <w:pPr>
        <w:pStyle w:val="Heading1"/>
      </w:pPr>
      <w:r>
        <w:t xml:space="preserve">Research Proposal: Enhancing Professional Development for Secondary School Teachers in Russia Saint Petersburg</w:t>
      </w:r>
    </w:p>
    <w:bookmarkStart w:id="20" w:name="introduction-and-background"/>
    <w:p>
      <w:pPr>
        <w:pStyle w:val="Heading2"/>
      </w:pPr>
      <w:r>
        <w:t xml:space="preserve">1. Introduction and Background</w:t>
      </w:r>
    </w:p>
    <w:p>
      <w:pPr>
        <w:pStyle w:val="FirstParagraph"/>
      </w:pPr>
      <w:r>
        <w:t xml:space="preserve">The educational landscape of Russia, particularly within the context of Saint Petersburg—a city renowned for its rich cultural heritage and advanced academic institutions—faces evolving challenges in secondary education. As the second-largest city in Russia, Saint Petersburg hosts over 500 secondary schools serving more than 350,000 students annually. Despite the region's historical emphasis on academic excellence, contemporary pressures such as digital transformation, curriculum modernization, and socio-economic shifts have intensified demands on</w:t>
      </w:r>
      <w:r>
        <w:t xml:space="preserve"> </w:t>
      </w:r>
      <w:r>
        <w:rPr>
          <w:bCs/>
          <w:b/>
        </w:rPr>
        <w:t xml:space="preserve">Teacher Secondary</w:t>
      </w:r>
      <w:r>
        <w:t xml:space="preserve">. This Research Proposal addresses a critical gap in understanding how to sustain high-quality secondary education through targeted support for educators. In Russia, the Ministry of Education has prioritized teacher development under its "National Project 'Education' (2018–2024)," yet localized studies focusing on Saint Petersburg's unique urban educational ecosystem remain scarce. This project proposes a comprehensive study to investigate professional challenges and opportunities for</w:t>
      </w:r>
      <w:r>
        <w:t xml:space="preserve"> </w:t>
      </w:r>
      <w:r>
        <w:rPr>
          <w:bCs/>
          <w:b/>
        </w:rPr>
        <w:t xml:space="preserve">Teacher Secondary</w:t>
      </w:r>
      <w:r>
        <w:t xml:space="preserve"> </w:t>
      </w:r>
      <w:r>
        <w:t xml:space="preserve">in Russia Saint Petersburg, aligning with national goals while addressing city-specific dynamics.</w:t>
      </w:r>
    </w:p>
    <w:bookmarkEnd w:id="20"/>
    <w:bookmarkStart w:id="21" w:name="problem-statement"/>
    <w:p>
      <w:pPr>
        <w:pStyle w:val="Heading2"/>
      </w:pPr>
      <w:r>
        <w:t xml:space="preserve">2. Problem Statement</w:t>
      </w:r>
    </w:p>
    <w:p>
      <w:pPr>
        <w:pStyle w:val="FirstParagraph"/>
      </w:pPr>
      <w:r>
        <w:t xml:space="preserve">In Russia Saint Petersburg, secondary school teachers grapple with multifaceted obstacles that compromise educational outcomes. These include excessive workloads (averaging 50+ hours weekly), inadequate access to professional development resources, and insufficient training in digital pedagogy—a gap exacerbated by the post-pandemic shift to hybrid learning. A 2023 Saint Petersburg Department of Education survey revealed that 68% of secondary teachers reported burnout, directly correlating with declining student engagement in STEM subjects. Crucially, no localized research has assessed how these challenges intersect with Russia's broader educational reforms in Saint Petersburg specifically. Without context-sensitive data on</w:t>
      </w:r>
      <w:r>
        <w:t xml:space="preserve"> </w:t>
      </w:r>
      <w:r>
        <w:rPr>
          <w:bCs/>
          <w:b/>
        </w:rPr>
        <w:t xml:space="preserve">Teacher Secondary</w:t>
      </w:r>
      <w:r>
        <w:t xml:space="preserve">, policymakers risk implementing generic solutions that ignore the city’s dense urban infrastructure, diverse student demographics (including significant immigrant populations), and historical pedagogical traditions. This Research Proposal directly confronts this gap to inform evidence-based interventions.</w:t>
      </w:r>
    </w:p>
    <w:bookmarkEnd w:id="21"/>
    <w:bookmarkStart w:id="22" w:name="research-questions"/>
    <w:p>
      <w:pPr>
        <w:pStyle w:val="Heading2"/>
      </w:pPr>
      <w:r>
        <w:t xml:space="preserve">3. Research Questions</w:t>
      </w:r>
    </w:p>
    <w:p>
      <w:pPr>
        <w:pStyle w:val="FirstParagraph"/>
      </w:pPr>
      <w:r>
        <w:t xml:space="preserve">The study will investigate three interconnected questions:</w:t>
      </w:r>
    </w:p>
    <w:p>
      <w:pPr>
        <w:numPr>
          <w:ilvl w:val="0"/>
          <w:numId w:val="1001"/>
        </w:numPr>
        <w:pStyle w:val="Compact"/>
      </w:pPr>
      <w:r>
        <w:t xml:space="preserve">How do systemic factors (e.g., workload, resource allocation, administrative support) uniquely impact the professional efficacy of Secondary Teachers in Saint Petersburg compared to rural Russian regions?</w:t>
      </w:r>
    </w:p>
    <w:p>
      <w:pPr>
        <w:numPr>
          <w:ilvl w:val="0"/>
          <w:numId w:val="1001"/>
        </w:numPr>
        <w:pStyle w:val="Compact"/>
      </w:pPr>
      <w:r>
        <w:t xml:space="preserve">To what extent do current professional development programs address the evolving pedagogical needs of Russia Saint Petersburg's secondary educators?</w:t>
      </w:r>
    </w:p>
    <w:p>
      <w:pPr>
        <w:numPr>
          <w:ilvl w:val="0"/>
          <w:numId w:val="1001"/>
        </w:numPr>
        <w:pStyle w:val="Compact"/>
      </w:pPr>
      <w:r>
        <w:t xml:space="preserve">What culturally responsive strategies can be co-created with teachers to enhance retention, well-being, and student achievement in this urban setting?</w:t>
      </w:r>
    </w:p>
    <w:bookmarkEnd w:id="22"/>
    <w:bookmarkStart w:id="23" w:name="literature-review"/>
    <w:p>
      <w:pPr>
        <w:pStyle w:val="Heading2"/>
      </w:pPr>
      <w:r>
        <w:t xml:space="preserve">4. Literature Review</w:t>
      </w:r>
    </w:p>
    <w:p>
      <w:pPr>
        <w:pStyle w:val="FirstParagraph"/>
      </w:pPr>
      <w:r>
        <w:t xml:space="preserve">Existing research on Russian education emphasizes nationwide teacher shortages (Gorbacheva et al., 2021), yet neglects Saint Petersburg's complexity. Studies by the Moscow Institute of Education (2022) highlight urban-rural divides in teacher support, but Saint Petersburg's status as a federal city with its own governance structure requires distinct analysis. International literature on secondary teacher retention (OECD, 2023) underscores digital literacy and autonomy as key drivers—factors poorly documented in Russia Saint Petersburg's context. This proposal bridges these gaps by centering</w:t>
      </w:r>
      <w:r>
        <w:t xml:space="preserve"> </w:t>
      </w:r>
      <w:r>
        <w:rPr>
          <w:bCs/>
          <w:b/>
        </w:rPr>
        <w:t xml:space="preserve">Teacher Secondary</w:t>
      </w:r>
      <w:r>
        <w:t xml:space="preserve"> </w:t>
      </w:r>
      <w:r>
        <w:t xml:space="preserve">within the city’s socio-educational fabric, moving beyond national averages to explore how Saint Petersburg’s historical emphasis on arts-humanities education (e.g., through institutions like the Herzen University) influences contemporary secondary pedagogy.</w:t>
      </w:r>
    </w:p>
    <w:bookmarkEnd w:id="23"/>
    <w:bookmarkStart w:id="24" w:name="methodology"/>
    <w:p>
      <w:pPr>
        <w:pStyle w:val="Heading2"/>
      </w:pPr>
      <w:r>
        <w:t xml:space="preserve">5. Methodology</w:t>
      </w:r>
    </w:p>
    <w:p>
      <w:pPr>
        <w:pStyle w:val="FirstParagraph"/>
      </w:pPr>
      <w:r>
        <w:t xml:space="preserve">This mixed-methods study employs a three-phase design over 18 months, prioritizing collaboration with Saint Petersburg stakeholders:</w:t>
      </w:r>
    </w:p>
    <w:p>
      <w:pPr>
        <w:numPr>
          <w:ilvl w:val="0"/>
          <w:numId w:val="1002"/>
        </w:numPr>
        <w:pStyle w:val="Compact"/>
      </w:pPr>
      <w:r>
        <w:rPr>
          <w:bCs/>
          <w:b/>
        </w:rPr>
        <w:t xml:space="preserve">Phase 1: Quantitative Baseline Survey (Months 1–4)</w:t>
      </w:r>
      <w:r>
        <w:t xml:space="preserve"> </w:t>
      </w:r>
      <w:r>
        <w:t xml:space="preserve">– A stratified sample of 450 secondary teachers across all Saint Petersburg districts (public, municipal, specialized schools) will complete validated scales measuring workload, professional autonomy, and burnout. Data will be cross-referenced with school-level metrics (e.g., student performance in national exams).</w:t>
      </w:r>
    </w:p>
    <w:p>
      <w:pPr>
        <w:numPr>
          <w:ilvl w:val="0"/>
          <w:numId w:val="1002"/>
        </w:numPr>
        <w:pStyle w:val="Compact"/>
      </w:pPr>
      <w:r>
        <w:rPr>
          <w:bCs/>
          <w:b/>
        </w:rPr>
        <w:t xml:space="preserve">Phase 2: Qualitative Case Studies (Months 5–10)</w:t>
      </w:r>
      <w:r>
        <w:t xml:space="preserve"> </w:t>
      </w:r>
      <w:r>
        <w:t xml:space="preserve">– In-depth interviews with 40 teachers and focus groups with 6 school directors from diverse neighborhoods (e.g., central districts vs. outskirts) will explore contextual nuances. This phase integrates participatory action research, where educators co-design potential solutions.</w:t>
      </w:r>
    </w:p>
    <w:p>
      <w:pPr>
        <w:numPr>
          <w:ilvl w:val="0"/>
          <w:numId w:val="1002"/>
        </w:numPr>
        <w:pStyle w:val="Compact"/>
      </w:pPr>
      <w:r>
        <w:rPr>
          <w:bCs/>
          <w:b/>
        </w:rPr>
        <w:t xml:space="preserve">Phase 3: Intervention Prototyping &amp; Validation (Months 11–18)</w:t>
      </w:r>
      <w:r>
        <w:t xml:space="preserve"> </w:t>
      </w:r>
      <w:r>
        <w:t xml:space="preserve">– Working with the Saint Petersburg Department of Education, we will develop and test a pilot professional development toolkit. Metrics include teacher self-efficacy scales, student engagement data, and program scalability assessments.</w:t>
      </w:r>
    </w:p>
    <w:p>
      <w:pPr>
        <w:pStyle w:val="FirstParagraph"/>
      </w:pPr>
      <w:r>
        <w:t xml:space="preserve">All data will be analyzed using NVivo for qualitative insights and SPSS for statistical trends. Ethical approval is secured through Saint Petersburg State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city-specific "Teacher Secondary Support Framework" for Russia Saint Petersburg, integrating digital training, mental health resources, and collaborative leadership models.</w:t>
      </w:r>
    </w:p>
    <w:p>
      <w:pPr>
        <w:numPr>
          <w:ilvl w:val="0"/>
          <w:numId w:val="1003"/>
        </w:numPr>
        <w:pStyle w:val="Compact"/>
      </w:pPr>
      <w:r>
        <w:t xml:space="preserve">Policy briefs targeting the Ministry of Education and Saint Petersburg’s Department of Education to revise funding allocation criteria based on localized needs.</w:t>
      </w:r>
    </w:p>
    <w:p>
      <w:pPr>
        <w:numPr>
          <w:ilvl w:val="0"/>
          <w:numId w:val="1003"/>
        </w:numPr>
        <w:pStyle w:val="Compact"/>
      </w:pPr>
      <w:r>
        <w:t xml:space="preserve">A replicable research model applicable to other Russian federal cities like Moscow or Novosibirsk.</w:t>
      </w:r>
    </w:p>
    <w:p>
      <w:pPr>
        <w:pStyle w:val="FirstParagraph"/>
      </w:pPr>
      <w:r>
        <w:t xml:space="preserve">The significance extends beyond academia: By centering</w:t>
      </w:r>
      <w:r>
        <w:t xml:space="preserve"> </w:t>
      </w:r>
      <w:r>
        <w:rPr>
          <w:bCs/>
          <w:b/>
        </w:rPr>
        <w:t xml:space="preserve">Teacher Secondary</w:t>
      </w:r>
      <w:r>
        <w:t xml:space="preserve"> </w:t>
      </w:r>
      <w:r>
        <w:t xml:space="preserve">as the cornerstone of educational quality, this study directly supports Russia’s national education goals. In Saint Petersburg, where secondary schools serve 20% of Russia’s urban youth (UNESCO, 2023), resilient teachers are pivotal for economic development—particularly in emerging sectors like IT and creative industries. Furthermore, the project aligns with Saint Petersburg’s municipal strategy "Smart City Education" (2025), ensuring its outputs drive tangible policy change.</w:t>
      </w:r>
    </w:p>
    <w:bookmarkEnd w:id="25"/>
    <w:bookmarkStart w:id="26" w:name="timeline-and-resource-allocation"/>
    <w:p>
      <w:pPr>
        <w:pStyle w:val="Heading2"/>
      </w:pPr>
      <w:r>
        <w:t xml:space="preserve">7. Timeline and Resource Allocation</w:t>
      </w:r>
    </w:p>
    <w:p>
      <w:pPr>
        <w:pStyle w:val="FirstParagraph"/>
      </w:pPr>
      <w:r>
        <w:t xml:space="preserve">A 18-month timeline ensures practical implementation:</w:t>
      </w:r>
    </w:p>
    <w:p>
      <w:pPr>
        <w:numPr>
          <w:ilvl w:val="0"/>
          <w:numId w:val="1004"/>
        </w:numPr>
        <w:pStyle w:val="Compact"/>
      </w:pPr>
      <w:r>
        <w:rPr>
          <w:bCs/>
          <w:b/>
        </w:rPr>
        <w:t xml:space="preserve">Months 1–4:</w:t>
      </w:r>
      <w:r>
        <w:t xml:space="preserve"> </w:t>
      </w:r>
      <w:r>
        <w:t xml:space="preserve">Survey design, ethics approval, stakeholder mapping with Saint Petersburg Education Department.</w:t>
      </w:r>
    </w:p>
    <w:p>
      <w:pPr>
        <w:numPr>
          <w:ilvl w:val="0"/>
          <w:numId w:val="1004"/>
        </w:numPr>
        <w:pStyle w:val="Compact"/>
      </w:pPr>
      <w:r>
        <w:rPr>
          <w:bCs/>
          <w:b/>
        </w:rPr>
        <w:t xml:space="preserve">Months 5–10:</w:t>
      </w:r>
      <w:r>
        <w:t xml:space="preserve"> </w:t>
      </w:r>
      <w:r>
        <w:t xml:space="preserve">Data collection and co-creation workshops with teachers.</w:t>
      </w:r>
    </w:p>
    <w:p>
      <w:pPr>
        <w:numPr>
          <w:ilvl w:val="0"/>
          <w:numId w:val="1004"/>
        </w:numPr>
        <w:pStyle w:val="Compact"/>
      </w:pPr>
      <w:r>
        <w:rPr>
          <w:bCs/>
          <w:b/>
        </w:rPr>
        <w:t xml:space="preserve">Months 11–18:</w:t>
      </w:r>
      <w:r>
        <w:t xml:space="preserve"> </w:t>
      </w:r>
      <w:r>
        <w:t xml:space="preserve">Toolkit development, pilot testing in 5 schools, and policy advocacy.</w:t>
      </w:r>
    </w:p>
    <w:p>
      <w:pPr>
        <w:pStyle w:val="FirstParagraph"/>
      </w:pPr>
      <w:r>
        <w:t xml:space="preserve">Budget requests focus on personnel (researchers, local field coordinators), teacher stipends for participation, and digital tools. Partnerships with Saint Petersburg State University will provide in-kind support for data analysis infrastructure.</w:t>
      </w:r>
    </w:p>
    <w:bookmarkEnd w:id="26"/>
    <w:bookmarkStart w:id="27" w:name="conclusion"/>
    <w:p>
      <w:pPr>
        <w:pStyle w:val="Heading2"/>
      </w:pPr>
      <w:r>
        <w:t xml:space="preserve">8. Conclusion</w:t>
      </w:r>
    </w:p>
    <w:p>
      <w:pPr>
        <w:pStyle w:val="FirstParagraph"/>
      </w:pPr>
      <w:r>
        <w:t xml:space="preserve">This Research Proposal presents a timely intervention to strengthen the foundation of secondary education in Russia Saint Petersburg by prioritizing the professional life of</w:t>
      </w:r>
      <w:r>
        <w:t xml:space="preserve"> </w:t>
      </w:r>
      <w:r>
        <w:rPr>
          <w:bCs/>
          <w:b/>
        </w:rPr>
        <w:t xml:space="preserve">Teacher Secondary</w:t>
      </w:r>
      <w:r>
        <w:t xml:space="preserve">. It moves beyond theoretical discourse to deliver actionable solutions grounded in urban educational realities. By documenting challenges and co-creating strategies within Saint Petersburg’s unique socio-cultural milieu, this study will position Russia’s second-largest city as a model for teacher-centered educational innovation across the nation. Ultimately, investing in</w:t>
      </w:r>
      <w:r>
        <w:t xml:space="preserve"> </w:t>
      </w:r>
      <w:r>
        <w:rPr>
          <w:bCs/>
          <w:b/>
        </w:rPr>
        <w:t xml:space="preserve">Teacher Secondary</w:t>
      </w:r>
      <w:r>
        <w:t xml:space="preserve"> </w:t>
      </w:r>
      <w:r>
        <w:t xml:space="preserve">is not merely an academic pursuit—it is a strategic imperative for cultivating future-ready citizens in one of Russia’s most dynamic urban centers.</w:t>
      </w:r>
    </w:p>
    <w:bookmarkEnd w:id="27"/>
    <w:bookmarkStart w:id="28" w:name="references"/>
    <w:p>
      <w:pPr>
        <w:pStyle w:val="Heading2"/>
      </w:pPr>
      <w:r>
        <w:t xml:space="preserve">References</w:t>
      </w:r>
    </w:p>
    <w:p>
      <w:pPr>
        <w:numPr>
          <w:ilvl w:val="0"/>
          <w:numId w:val="1005"/>
        </w:numPr>
        <w:pStyle w:val="Compact"/>
      </w:pPr>
      <w:r>
        <w:t xml:space="preserve">Gorbacheva, T., et al. (2021). *Teacher Retention in Russian Secondary Schools: National Trends and Regional Disparities*. Moscow Institute of Education Press.</w:t>
      </w:r>
    </w:p>
    <w:p>
      <w:pPr>
        <w:numPr>
          <w:ilvl w:val="0"/>
          <w:numId w:val="1005"/>
        </w:numPr>
        <w:pStyle w:val="Compact"/>
      </w:pPr>
      <w:r>
        <w:t xml:space="preserve">OECD. (2023). *Teachers as Digital Leaders: Lessons from Urban Contexts*. OECD Publishing.</w:t>
      </w:r>
    </w:p>
    <w:p>
      <w:pPr>
        <w:numPr>
          <w:ilvl w:val="0"/>
          <w:numId w:val="1005"/>
        </w:numPr>
        <w:pStyle w:val="Compact"/>
      </w:pPr>
      <w:r>
        <w:t xml:space="preserve">Saint Petersburg Department of Education. (2023). *Annual Report on Educational Quality and Teacher Well-being*. Saint Petersburg Municipal Archives.</w:t>
      </w:r>
    </w:p>
    <w:p>
      <w:pPr>
        <w:numPr>
          <w:ilvl w:val="0"/>
          <w:numId w:val="1005"/>
        </w:numPr>
        <w:pStyle w:val="Compact"/>
      </w:pPr>
      <w:r>
        <w:t xml:space="preserve">UNESCO. (2023). *Urban Education in Russia: Challenges for the 21st Century*. Regional Office for Europe and Central Asia.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Education in Russia Saint Petersburg</dc:title>
  <dc:creator/>
  <dc:language>en</dc:language>
  <cp:keywords/>
  <dcterms:created xsi:type="dcterms:W3CDTF">2026-07-24T09:59:11Z</dcterms:created>
  <dcterms:modified xsi:type="dcterms:W3CDTF">2026-07-24T09:59:11Z</dcterms:modified>
</cp:coreProperties>
</file>

<file path=docProps/custom.xml><?xml version="1.0" encoding="utf-8"?>
<Properties xmlns="http://schemas.openxmlformats.org/officeDocument/2006/custom-properties" xmlns:vt="http://schemas.openxmlformats.org/officeDocument/2006/docPropsVTypes"/>
</file>