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Secondary</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Istanbul,</w:t>
      </w:r>
      <w:r>
        <w:t xml:space="preserve"> </w:t>
      </w:r>
      <w:r>
        <w:t xml:space="preserve">Turkey</w:t>
      </w:r>
    </w:p>
    <w:bookmarkStart w:id="32" w:name="X121f15a2af75eaa95c0e580481e211996c56fa0"/>
    <w:p>
      <w:pPr>
        <w:pStyle w:val="Heading1"/>
      </w:pPr>
      <w:r>
        <w:t xml:space="preserve">Research Proposal: Enhancing Professional Competencies of Secondary Teachers in Istanbul, Turkey</w:t>
      </w:r>
    </w:p>
    <w:bookmarkStart w:id="20" w:name="introduction-and-background"/>
    <w:p>
      <w:pPr>
        <w:pStyle w:val="Heading2"/>
      </w:pPr>
      <w:r>
        <w:t xml:space="preserve">1. Introduction and Background</w:t>
      </w:r>
    </w:p>
    <w:p>
      <w:pPr>
        <w:pStyle w:val="FirstParagraph"/>
      </w:pPr>
      <w:r>
        <w:t xml:space="preserve">The Turkish education system faces significant challenges in ensuring quality secondary education (Lise), particularly within the diverse urban landscape of Istanbul. As Turkey's largest metropolis and economic hub, Istanbul hosts over 40% of the nation's secondary schools, serving more than 1.2 million students across public and private institutions. Despite national reforms like the 2013 Curriculum Update and the recent "New Education System" initiatives (2023), evidence suggests persistent gaps in</w:t>
      </w:r>
      <w:r>
        <w:t xml:space="preserve"> </w:t>
      </w:r>
      <w:r>
        <w:rPr>
          <w:bCs/>
          <w:b/>
        </w:rPr>
        <w:t xml:space="preserve">Teacher Secondary</w:t>
      </w:r>
      <w:r>
        <w:t xml:space="preserve"> </w:t>
      </w:r>
      <w:r>
        <w:t xml:space="preserve">readiness to implement student-centered pedagogy, digital literacy integration, and socio-emotional learning frameworks. This research addresses a critical need: understanding how to effectively support</w:t>
      </w:r>
      <w:r>
        <w:t xml:space="preserve"> </w:t>
      </w:r>
      <w:r>
        <w:rPr>
          <w:bCs/>
          <w:b/>
        </w:rPr>
        <w:t xml:space="preserve">Secondary Teacher</w:t>
      </w:r>
      <w:r>
        <w:t xml:space="preserve"> </w:t>
      </w:r>
      <w:r>
        <w:t xml:space="preserve">capacity building within the unique socioeconomic and administrative context of</w:t>
      </w:r>
      <w:r>
        <w:t xml:space="preserve"> </w:t>
      </w:r>
      <w:r>
        <w:rPr>
          <w:bCs/>
          <w:b/>
        </w:rPr>
        <w:t xml:space="preserve">Turkey Istanbul</w:t>
      </w:r>
      <w:r>
        <w:t xml:space="preserve">. The project responds directly to the Ministry of National Education's 2024 Priority Action Plan, which identifies teacher professional development as pivotal for achieving national education goals.</w:t>
      </w:r>
    </w:p>
    <w:bookmarkEnd w:id="20"/>
    <w:bookmarkStart w:id="21" w:name="problem-statement"/>
    <w:p>
      <w:pPr>
        <w:pStyle w:val="Heading2"/>
      </w:pPr>
      <w:r>
        <w:t xml:space="preserve">2. Problem Statement</w:t>
      </w:r>
    </w:p>
    <w:p>
      <w:pPr>
        <w:pStyle w:val="FirstParagraph"/>
      </w:pPr>
      <w:r>
        <w:t xml:space="preserve">Current data from the Turkish Statistical Institute (TÜİK) and Istanbul Provincial Directorate of National Education reveals alarming trends. A 2023 internal survey indicated that 67% of secondary teachers in Istanbul reported inadequate preparation for modern classroom demands, citing insufficient training in technology integration (89%), inclusive education strategies (76%), and assessment literacy (81%). The disparity is stark between high-income districts like Beşiktaş and low-income areas such as Sultangazi, where overcrowded classrooms and resource scarcity exacerbate teacher stress. This gap directly impacts student outcomes: Istanbul’s 2022 PISA scores for secondary students lagged 35 points behind OECD averages in critical thinking. Without targeted interventions, the</w:t>
      </w:r>
      <w:r>
        <w:t xml:space="preserve"> </w:t>
      </w:r>
      <w:r>
        <w:rPr>
          <w:bCs/>
          <w:b/>
        </w:rPr>
        <w:t xml:space="preserve">Teacher Secondary</w:t>
      </w:r>
      <w:r>
        <w:t xml:space="preserve"> </w:t>
      </w:r>
      <w:r>
        <w:t xml:space="preserve">crisis will perpetuate educational inequality across</w:t>
      </w:r>
      <w:r>
        <w:t xml:space="preserve"> </w:t>
      </w:r>
      <w:r>
        <w:rPr>
          <w:bCs/>
          <w:b/>
        </w:rPr>
        <w:t xml:space="preserve">Turkey Istanbul</w:t>
      </w:r>
      <w:r>
        <w:t xml:space="preserve">, undermining national development objectives.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professional development (PD) landscape for secondary teachers in Istanbul, identifying systemic barriers and facilitators.</w:t>
      </w:r>
    </w:p>
    <w:p>
      <w:pPr>
        <w:numPr>
          <w:ilvl w:val="0"/>
          <w:numId w:val="1001"/>
        </w:numPr>
        <w:pStyle w:val="Compact"/>
      </w:pPr>
      <w:r>
        <w:t xml:space="preserve">To assess the specific needs of</w:t>
      </w:r>
      <w:r>
        <w:t xml:space="preserve"> </w:t>
      </w:r>
      <w:r>
        <w:rPr>
          <w:bCs/>
          <w:b/>
        </w:rPr>
        <w:t xml:space="preserve">Teacher Secondary</w:t>
      </w:r>
      <w:r>
        <w:t xml:space="preserve"> </w:t>
      </w:r>
      <w:r>
        <w:t xml:space="preserve">across urban-rural gradients within Istanbul Province.</w:t>
      </w:r>
    </w:p>
    <w:p>
      <w:pPr>
        <w:numPr>
          <w:ilvl w:val="0"/>
          <w:numId w:val="1001"/>
        </w:numPr>
        <w:pStyle w:val="Compact"/>
      </w:pPr>
      <w:r>
        <w:t xml:space="preserve">To co-design and evaluate a contextually responsive PD model integrating digital tools, trauma-informed practices, and inclusive pedagogy tailored for Istanbul’s diverse student population.</w:t>
      </w:r>
    </w:p>
    <w:p>
      <w:pPr>
        <w:numPr>
          <w:ilvl w:val="0"/>
          <w:numId w:val="1001"/>
        </w:numPr>
        <w:pStyle w:val="Compact"/>
      </w:pPr>
      <w:r>
        <w:t xml:space="preserve">To develop actionable policy recommendations for the Ministry of National Education (MEB) to scale effective teacher support systems across</w:t>
      </w:r>
      <w:r>
        <w:t xml:space="preserve"> </w:t>
      </w:r>
      <w:r>
        <w:rPr>
          <w:bCs/>
          <w:b/>
        </w:rPr>
        <w:t xml:space="preserve">Turkey Istanbul</w:t>
      </w:r>
      <w:r>
        <w:t xml:space="preserve"> </w:t>
      </w:r>
      <w:r>
        <w:t xml:space="preserve">and nationally.</w:t>
      </w:r>
    </w:p>
    <w:bookmarkEnd w:id="22"/>
    <w:bookmarkStart w:id="23" w:name="Xb4f44f923b926d608c426ba3b6a75065de581c8"/>
    <w:p>
      <w:pPr>
        <w:pStyle w:val="Heading2"/>
      </w:pPr>
      <w:r>
        <w:t xml:space="preserve">4. Literature Review (Key Gaps in Turkey Context)</w:t>
      </w:r>
    </w:p>
    <w:p>
      <w:pPr>
        <w:pStyle w:val="FirstParagraph"/>
      </w:pPr>
      <w:r>
        <w:t xml:space="preserve">While global research emphasizes PD’s role in teacher efficacy, studies specific to Turkish secondary education remain scarce. Existing works by Aksu (2020) and Öztürk et al. (2021) highlight Istanbul’s unique pressures but lack granular analysis of district-level variations. Crucially, no major study has examined the interplay between Turkey’s national curriculum reforms and</w:t>
      </w:r>
      <w:r>
        <w:t xml:space="preserve"> </w:t>
      </w:r>
      <w:r>
        <w:rPr>
          <w:bCs/>
          <w:b/>
        </w:rPr>
        <w:t xml:space="preserve">Teacher Secondary</w:t>
      </w:r>
      <w:r>
        <w:t xml:space="preserve"> </w:t>
      </w:r>
      <w:r>
        <w:t xml:space="preserve">implementation capacity within Istanbul’s complex urban ecology. The proposed research bridges this gap by centering on Istanbul as a microcosm of Turkey’s educational challenges—where rapid urbanization, migration influxes (e.g., Syrian refugees), and socioeconomic polarization create unprecedented demands on secondary educators.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(January 2025–June 2026) in three Istanbul districts: Beyoğlu (affluent), Kadıköy (middle-income/urban), and Sultangazi (low-income).</w:t>
      </w:r>
    </w:p>
    <w:bookmarkStart w:id="24" w:name="phase-1-quantitative-survey"/>
    <w:p>
      <w:pPr>
        <w:pStyle w:val="Heading3"/>
      </w:pPr>
      <w:r>
        <w:t xml:space="preserve">Phase 1: Quantitative Survey</w:t>
      </w:r>
    </w:p>
    <w:p>
      <w:pPr>
        <w:pStyle w:val="FirstParagraph"/>
      </w:pPr>
      <w:r>
        <w:t xml:space="preserve">A stratified random sample of 800 secondary teachers across 50 schools will complete an online survey measuring PD access, perceived efficacy in new methodologies, burnout levels (Maslach Burnout Inventory), and self-reported student engagement challenges. Data will be analyzed via SPSS for correlations between district characteristics and teacher readiness.</w:t>
      </w:r>
    </w:p>
    <w:bookmarkEnd w:id="24"/>
    <w:bookmarkStart w:id="25" w:name="phase-2-qualitative-deep-dives"/>
    <w:p>
      <w:pPr>
        <w:pStyle w:val="Heading3"/>
      </w:pPr>
      <w:r>
        <w:t xml:space="preserve">Phase 2: Qualitative Deep Dives</w:t>
      </w:r>
    </w:p>
    <w:p>
      <w:pPr>
        <w:pStyle w:val="FirstParagraph"/>
      </w:pPr>
      <w:r>
        <w:t xml:space="preserve">Focus groups (10 groups, 6–8 teachers each) and semi-structured interviews with 45 teachers + 15 school principals will explore lived experiences. Thematic analysis using NVivo will uncover contextual nuances (e.g., "How does a teacher in Sultangazi adapt digital tools when only 30% of students have home internet?").</w:t>
      </w:r>
    </w:p>
    <w:bookmarkEnd w:id="25"/>
    <w:bookmarkStart w:id="26" w:name="phase-3-co-design-pilot"/>
    <w:p>
      <w:pPr>
        <w:pStyle w:val="Heading3"/>
      </w:pPr>
      <w:r>
        <w:t xml:space="preserve">Phase 3: Co-Design &amp; Pilot</w:t>
      </w:r>
    </w:p>
    <w:p>
      <w:pPr>
        <w:pStyle w:val="FirstParagraph"/>
      </w:pPr>
      <w:r>
        <w:t xml:space="preserve">A participatory workshop with teachers will design a PD framework. A pilot intervention (12 weeks) in 6 schools will test modules on AI-assisted differentiation and refugee-inclusive pedagogy, with pre/post-measures of teacher confidence and student outcomes.</w:t>
      </w:r>
    </w:p>
    <w:bookmarkEnd w:id="26"/>
    <w:bookmarkEnd w:id="27"/>
    <w:bookmarkStart w:id="28" w:name="significance-to-turkey-istanbul-context"/>
    <w:p>
      <w:pPr>
        <w:pStyle w:val="Heading2"/>
      </w:pPr>
      <w:r>
        <w:t xml:space="preserve">6. Significance to Turkey Istanbul Context</w:t>
      </w:r>
    </w:p>
    <w:p>
      <w:pPr>
        <w:pStyle w:val="FirstParagraph"/>
      </w:pPr>
      <w:r>
        <w:t xml:space="preserve">This research is uniquely positioned to address Istanbul’s urgent educational needs. As Turkey’s primary education center, the city’s solutions can model national policy. The study will directly engage the Istanbul MEB Regional Directorate for Education, ensuring findings align with local priorities like the "Istanbul Education 2030" roadmap. By focusing on</w:t>
      </w:r>
      <w:r>
        <w:t xml:space="preserve"> </w:t>
      </w:r>
      <w:r>
        <w:rPr>
          <w:bCs/>
          <w:b/>
        </w:rPr>
        <w:t xml:space="preserve">Teacher Secondary</w:t>
      </w:r>
      <w:r>
        <w:t xml:space="preserve"> </w:t>
      </w:r>
      <w:r>
        <w:t xml:space="preserve">within Istanbul’s specific challenges—such as integrating refugees into classrooms or managing overcrowding in state schools—the project delivers actionable insights beyond generic PD frameworks. Successful outcomes could reduce teacher attrition (currently 18% annually in Istanbul) and boost secondary student achievement, directly supporting Turkey’s Vision 2023 goals.</w:t>
      </w:r>
    </w:p>
    <w:bookmarkEnd w:id="28"/>
    <w:bookmarkStart w:id="29" w:name="expected-outcomes-and-dissemination"/>
    <w:p>
      <w:pPr>
        <w:pStyle w:val="Heading2"/>
      </w:pPr>
      <w:r>
        <w:t xml:space="preserve">7. Expected Outcomes and Dissemination</w:t>
      </w:r>
    </w:p>
    <w:p>
      <w:pPr>
        <w:pStyle w:val="FirstParagraph"/>
      </w:pPr>
      <w:r>
        <w:t xml:space="preserve">We anticipate generating:</w:t>
      </w:r>
    </w:p>
    <w:p>
      <w:pPr>
        <w:numPr>
          <w:ilvl w:val="0"/>
          <w:numId w:val="1002"/>
        </w:numPr>
        <w:pStyle w:val="Compact"/>
      </w:pPr>
      <w:r>
        <w:t xml:space="preserve">A district-specific PD needs assessment report for Istanbul schools.</w:t>
      </w:r>
    </w:p>
    <w:p>
      <w:pPr>
        <w:numPr>
          <w:ilvl w:val="0"/>
          <w:numId w:val="1002"/>
        </w:numPr>
        <w:pStyle w:val="Compact"/>
      </w:pPr>
      <w:r>
        <w:t xml:space="preserve">A validated, scalable "Istanbul Secondary Teacher Development Model" (ISTDM) with digital resources.</w:t>
      </w:r>
    </w:p>
    <w:p>
      <w:pPr>
        <w:numPr>
          <w:ilvl w:val="0"/>
          <w:numId w:val="1002"/>
        </w:numPr>
        <w:pStyle w:val="Compact"/>
      </w:pPr>
      <w:r>
        <w:t xml:space="preserve">Policy briefs for MEB and Istanbul Provincial Directorate of Education.</w:t>
      </w:r>
    </w:p>
    <w:p>
      <w:pPr>
        <w:numPr>
          <w:ilvl w:val="0"/>
          <w:numId w:val="1002"/>
        </w:numPr>
        <w:pStyle w:val="Compact"/>
      </w:pPr>
      <w:r>
        <w:t xml:space="preserve">Peer-reviewed publications in journals like "Turkish Journal of Educational Research."</w:t>
      </w:r>
    </w:p>
    <w:p>
      <w:pPr>
        <w:pStyle w:val="FirstParagraph"/>
      </w:pPr>
      <w:r>
        <w:t xml:space="preserve">All materials will be published in Turkish and English. Dissemination will include workshops for 200+ teachers at the Istanbul International Teachers’ Congress (October 2025) and an open-access digital toolkit via the MEB’s online teacher portal.</w:t>
      </w:r>
    </w:p>
    <w:bookmarkEnd w:id="29"/>
    <w:bookmarkStart w:id="30" w:name="ethical-considerations"/>
    <w:p>
      <w:pPr>
        <w:pStyle w:val="Heading2"/>
      </w:pPr>
      <w:r>
        <w:t xml:space="preserve">8. Ethical Considerations</w:t>
      </w:r>
    </w:p>
    <w:p>
      <w:pPr>
        <w:pStyle w:val="FirstParagraph"/>
      </w:pPr>
      <w:r>
        <w:t xml:space="preserve">The study adheres to Turkish National Research Ethics Guidelines. Informed consent will be obtained, with anonymization for all survey/interview data. School principals will be engaged as partners, not subjects. Data security follows GDPR standards via encrypted cloud storage (TÜBİTAK-approved servers). Vulnerable participants (e.g., refugee teachers) will receive support referrals through Istanbul MEB’s social services unit.</w:t>
      </w:r>
    </w:p>
    <w:bookmarkEnd w:id="30"/>
    <w:bookmarkStart w:id="31" w:name="conclusion"/>
    <w:p>
      <w:pPr>
        <w:pStyle w:val="Heading2"/>
      </w:pPr>
      <w:r>
        <w:t xml:space="preserve">9. Conclusion</w:t>
      </w:r>
    </w:p>
    <w:p>
      <w:pPr>
        <w:pStyle w:val="FirstParagraph"/>
      </w:pPr>
      <w:r>
        <w:t xml:space="preserve">Investing in the professional growth of secondary teachers is not merely an educational imperative but a cornerstone of Turkey’s socio-economic future. This research directly confronts the underfunded, fragmented state of</w:t>
      </w:r>
      <w:r>
        <w:t xml:space="preserve"> </w:t>
      </w:r>
      <w:r>
        <w:rPr>
          <w:bCs/>
          <w:b/>
        </w:rPr>
        <w:t xml:space="preserve">Teacher Secondary</w:t>
      </w:r>
      <w:r>
        <w:t xml:space="preserve"> </w:t>
      </w:r>
      <w:r>
        <w:t xml:space="preserve">development in Istanbul—a city emblematic of both Turkey’s potential and its most pressing challenges. By centering on Istanbul as our laboratory, we will create a replicable blueprint for revitalizing secondary education across</w:t>
      </w:r>
      <w:r>
        <w:t xml:space="preserve"> </w:t>
      </w:r>
      <w:r>
        <w:rPr>
          <w:bCs/>
          <w:b/>
        </w:rPr>
        <w:t xml:space="preserve">Turkey</w:t>
      </w:r>
      <w:r>
        <w:t xml:space="preserve">. The outcomes promise to transform how teachers engage with 21st-century learning needs, ultimately fostering equitable educational experiences for every student in the heart of Turkey’s largest metropolis.</w:t>
      </w:r>
    </w:p>
    <w:p>
      <w:pPr>
        <w:pStyle w:val="BodyText"/>
      </w:pPr>
      <w:r>
        <w:rPr>
          <w:iCs/>
          <w:i/>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Secondary Teacher Professional Development in Istanbul, Turkey</dc:title>
  <dc:creator/>
  <dc:language>en</dc:language>
  <cp:keywords/>
  <dcterms:created xsi:type="dcterms:W3CDTF">2025-12-10T01:55:52Z</dcterms:created>
  <dcterms:modified xsi:type="dcterms:W3CDTF">2025-12-10T01:55:52Z</dcterms:modified>
</cp:coreProperties>
</file>

<file path=docProps/custom.xml><?xml version="1.0" encoding="utf-8"?>
<Properties xmlns="http://schemas.openxmlformats.org/officeDocument/2006/custom-properties" xmlns:vt="http://schemas.openxmlformats.org/officeDocument/2006/docPropsVTypes"/>
</file>