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Melbourne,</w:t>
      </w:r>
      <w:r>
        <w:t xml:space="preserve"> </w:t>
      </w:r>
      <w:r>
        <w:t xml:space="preserve">Australia</w:t>
      </w:r>
    </w:p>
    <w:bookmarkStart w:id="29" w:name="X431768aa54f7b57e3387727b39f4742d676b763"/>
    <w:p>
      <w:pPr>
        <w:pStyle w:val="Heading1"/>
      </w:pPr>
      <w:r>
        <w:t xml:space="preserve">Research Proposal: Optimizing Next-Generation Telecommunication Networks for Sustainable Urban Development in Melbourne, Australia</w:t>
      </w:r>
    </w:p>
    <w:bookmarkStart w:id="20" w:name="abstract"/>
    <w:p>
      <w:pPr>
        <w:pStyle w:val="Heading2"/>
      </w:pPr>
      <w:r>
        <w:t xml:space="preserve">Abstract</w:t>
      </w:r>
    </w:p>
    <w:p>
      <w:pPr>
        <w:pStyle w:val="FirstParagraph"/>
      </w:pPr>
      <w:r>
        <w:t xml:space="preserve">This research proposal addresses the critical need for resilient, high-capacity telecommunication infrastructure to support Melbourne’s rapid urbanization and Smart City initiatives. As Australia’s second-largest city and a major hub for technology innovation, Melbourne faces unique challenges in deploying 5G/6G networks across dense urban landscapes while ensuring reliability during extreme weather events. This study will investigate the role of the</w:t>
      </w:r>
      <w:r>
        <w:t xml:space="preserve"> </w:t>
      </w:r>
      <w:r>
        <w:rPr>
          <w:iCs/>
          <w:i/>
        </w:rPr>
        <w:t xml:space="preserve">Telecommunication Engineer</w:t>
      </w:r>
      <w:r>
        <w:t xml:space="preserve"> </w:t>
      </w:r>
      <w:r>
        <w:t xml:space="preserve">in designing adaptive network architectures that integrate renewable energy sources, minimize electromagnetic interference in heritage zones, and enhance emergency response capabilities. Conducted in collaboration with Melbourne-based telecommunications providers (e.g., Telstra, Vodafone Australia) and Victoria’s Department of Economic Development, Jobs, Transport and Resources, this project directly supports Australia’s National 6G Strategy and Melbourne’s Urban Forest Strategy. The expected outcomes will provide actionable frameworks for</w:t>
      </w:r>
      <w:r>
        <w:t xml:space="preserve"> </w:t>
      </w:r>
      <w:r>
        <w:rPr>
          <w:iCs/>
          <w:i/>
        </w:rPr>
        <w:t xml:space="preserve">Telecommunication Engineer</w:t>
      </w:r>
      <w:r>
        <w:t xml:space="preserve"> </w:t>
      </w:r>
      <w:r>
        <w:t xml:space="preserve">professionals operating within the Australian regulatory environment.</w:t>
      </w:r>
    </w:p>
    <w:bookmarkEnd w:id="20"/>
    <w:bookmarkStart w:id="21" w:name="X8321f360ae02f8a10e9b921ce8aabe0c22b110f"/>
    <w:p>
      <w:pPr>
        <w:pStyle w:val="Heading2"/>
      </w:pPr>
      <w:r>
        <w:t xml:space="preserve">1. Introduction: Contextualizing Telecommunications in Melbourne, Australia</w:t>
      </w:r>
    </w:p>
    <w:p>
      <w:pPr>
        <w:pStyle w:val="FirstParagraph"/>
      </w:pPr>
      <w:r>
        <w:t xml:space="preserve">Melbourne, Victoria—home to over 5.2 million residents and Australia’s fastest-growing tech sector—faces mounting pressure on its telecommunications infrastructure. Current network deployments struggle with signal attenuation in inner-city laneways, congestion during major events (e.g., AFL Grand Final), and vulnerability to climate-related disruptions like bushfires (2019–2020) and heatwaves. The Australian Government’s National Broadband Network (NBN) rollout has left gaps in low-to-mid-band spectrum availability for enterprise IoT applications across Melbourne’s Docklands, Southbank, and North Melbourne precincts. Simultaneously, the rise of remote work post-pandemic has intensified demand for fiber-optic densification. This research directly engages with the evolving responsibilities of the</w:t>
      </w:r>
      <w:r>
        <w:t xml:space="preserve"> </w:t>
      </w:r>
      <w:r>
        <w:rPr>
          <w:iCs/>
          <w:i/>
        </w:rPr>
        <w:t xml:space="preserve">Telecommunication Engineer</w:t>
      </w:r>
      <w:r>
        <w:t xml:space="preserve"> </w:t>
      </w:r>
      <w:r>
        <w:t xml:space="preserve">in Australia: moving beyond traditional network maintenance to become a strategic architect of resilient digital ecosystems that align with Victorian planning policies like</w:t>
      </w:r>
      <w:r>
        <w:t xml:space="preserve"> </w:t>
      </w:r>
      <w:r>
        <w:rPr>
          <w:iCs/>
          <w:i/>
        </w:rPr>
        <w:t xml:space="preserve">Melbourne 2050</w:t>
      </w:r>
      <w:r>
        <w:t xml:space="preserve">.</w:t>
      </w:r>
    </w:p>
    <w:bookmarkEnd w:id="21"/>
    <w:bookmarkStart w:id="22" w:name="problem-statement-and-research-gap"/>
    <w:p>
      <w:pPr>
        <w:pStyle w:val="Heading2"/>
      </w:pPr>
      <w:r>
        <w:t xml:space="preserve">2. Problem Statement and Research Gap</w:t>
      </w:r>
    </w:p>
    <w:p>
      <w:pPr>
        <w:pStyle w:val="FirstParagraph"/>
      </w:pPr>
      <w:r>
        <w:t xml:space="preserve">While global studies on telecom infrastructure abound, no research has comprehensively analyzed the intersection of Melbourne’s specific geographic constraints (e.g., Yarra River corridor interference), regulatory frameworks (ACMA spectrum licensing), and climate adaptation needs for</w:t>
      </w:r>
      <w:r>
        <w:t xml:space="preserve"> </w:t>
      </w:r>
      <w:r>
        <w:rPr>
          <w:iCs/>
          <w:i/>
        </w:rPr>
        <w:t xml:space="preserve">Telecommunication Engineer</w:t>
      </w:r>
      <w:r>
        <w:t xml:space="preserve">s. Existing solutions often prioritize urban centers like Sydney or Brisbane, neglecting Melbourne’s unique challenges:</w:t>
      </w:r>
    </w:p>
    <w:p>
      <w:pPr>
        <w:numPr>
          <w:ilvl w:val="0"/>
          <w:numId w:val="1001"/>
        </w:numPr>
        <w:pStyle w:val="Compact"/>
      </w:pPr>
      <w:r>
        <w:t xml:space="preserve">Heritage building restrictions limiting rooftop antenna placement</w:t>
      </w:r>
    </w:p>
    <w:p>
      <w:pPr>
        <w:numPr>
          <w:ilvl w:val="0"/>
          <w:numId w:val="1001"/>
        </w:numPr>
        <w:pStyle w:val="Compact"/>
      </w:pPr>
      <w:r>
        <w:t xml:space="preserve">High population density causing network overcrowding in precincts like CBD and Fitzroy</w:t>
      </w:r>
    </w:p>
    <w:p>
      <w:pPr>
        <w:numPr>
          <w:ilvl w:val="0"/>
          <w:numId w:val="1001"/>
        </w:numPr>
        <w:pStyle w:val="Compact"/>
      </w:pPr>
      <w:r>
        <w:t xml:space="preserve">Lack of standardized protocols for integrating community Wi-Fi mesh networks with NBN infrastructure</w:t>
      </w:r>
    </w:p>
    <w:bookmarkEnd w:id="22"/>
    <w:bookmarkStart w:id="23" w:name="X638a03900a6769d1c893914987feedd43f403bf"/>
    <w:p>
      <w:pPr>
        <w:pStyle w:val="Heading2"/>
      </w:pPr>
      <w:r>
        <w:t xml:space="preserve">3. Research Objectives (Australia Melbourne Focus)</w:t>
      </w:r>
    </w:p>
    <w:p>
      <w:pPr>
        <w:pStyle w:val="FirstParagraph"/>
      </w:pPr>
      <w:r>
        <w:t xml:space="preserve">This project aims to deliver three tangible outcomes for</w:t>
      </w:r>
      <w:r>
        <w:t xml:space="preserve"> </w:t>
      </w:r>
      <w:r>
        <w:rPr>
          <w:iCs/>
          <w:i/>
        </w:rPr>
        <w:t xml:space="preserve">Telecommunication Engineer</w:t>
      </w:r>
      <w:r>
        <w:t xml:space="preserve">s operating in Australia:</w:t>
      </w:r>
    </w:p>
    <w:p>
      <w:pPr>
        <w:numPr>
          <w:ilvl w:val="0"/>
          <w:numId w:val="1002"/>
        </w:numPr>
        <w:pStyle w:val="Compact"/>
      </w:pPr>
      <w:r>
        <w:rPr>
          <w:bCs/>
          <w:b/>
        </w:rPr>
        <w:t xml:space="preserve">Develop a Melbourne-Specific Network Resilience Framework</w:t>
      </w:r>
      <w:r>
        <w:t xml:space="preserve">: Propose AI-driven predictive maintenance models for critical telecom nodes (e.g., cell towers, data centers) using historical weather and congestion data from Melbourne’s Bureau of Meteorology and Transport for Victoria.</w:t>
      </w:r>
    </w:p>
    <w:p>
      <w:pPr>
        <w:numPr>
          <w:ilvl w:val="0"/>
          <w:numId w:val="1002"/>
        </w:numPr>
        <w:pStyle w:val="Compact"/>
      </w:pPr>
      <w:r>
        <w:rPr>
          <w:bCs/>
          <w:b/>
        </w:rPr>
        <w:t xml:space="preserve">Design Low-Impact Deployment Protocols</w:t>
      </w:r>
      <w:r>
        <w:t xml:space="preserve">: Create guidelines for installing small cells in heritage zones (e.g., Fitzroy, Southbank) that comply with National Trust Victoria standards while maximizing signal coverage.</w:t>
      </w:r>
    </w:p>
    <w:p>
      <w:pPr>
        <w:numPr>
          <w:ilvl w:val="0"/>
          <w:numId w:val="1002"/>
        </w:numPr>
        <w:pStyle w:val="Compact"/>
      </w:pPr>
      <w:r>
        <w:rPr>
          <w:bCs/>
          <w:b/>
        </w:rPr>
        <w:t xml:space="preserve">Quantify Economic Viability for Victorian Utilities</w:t>
      </w:r>
      <w:r>
        <w:t xml:space="preserve">: Analyze cost-benefit metrics of renewable-powered micro-towers (solar/wind) against grid-connected alternatives, using real-world data from Melbourne’s urban renewal projects like Docklands.</w:t>
      </w:r>
    </w:p>
    <w:bookmarkEnd w:id="23"/>
    <w:bookmarkStart w:id="24" w:name="Xc29f8aecebecaea272354fd0c9b7865fa605423"/>
    <w:p>
      <w:pPr>
        <w:pStyle w:val="Heading2"/>
      </w:pPr>
      <w:r>
        <w:t xml:space="preserve">4. Methodology: Localized Data-Driven Approach</w:t>
      </w:r>
    </w:p>
    <w:p>
      <w:pPr>
        <w:pStyle w:val="FirstParagraph"/>
      </w:pPr>
      <w:r>
        <w:t xml:space="preserve">The research employs a mixed-methods design grounded in Melbourne’s operational context:</w:t>
      </w:r>
    </w:p>
    <w:p>
      <w:pPr>
        <w:numPr>
          <w:ilvl w:val="0"/>
          <w:numId w:val="1003"/>
        </w:numPr>
        <w:pStyle w:val="Compact"/>
      </w:pPr>
      <w:r>
        <w:rPr>
          <w:bCs/>
          <w:b/>
        </w:rPr>
        <w:t xml:space="preserve">Phase 1: Stakeholder Co-Creation (Months 1–3)</w:t>
      </w:r>
      <w:r>
        <w:t xml:space="preserve">: Workshops with Melbourne-based</w:t>
      </w:r>
      <w:r>
        <w:t xml:space="preserve"> </w:t>
      </w:r>
      <w:r>
        <w:rPr>
          <w:iCs/>
          <w:i/>
        </w:rPr>
        <w:t xml:space="preserve">Telecommunication Engineer</w:t>
      </w:r>
      <w:r>
        <w:t xml:space="preserve">s from Telstra, TPG Telecom, and Victorian government agencies to map current pain points. Data will be validated against ACMA’s Spectrum Usage Reports (2023) for metropolitan Melbourne.</w:t>
      </w:r>
    </w:p>
    <w:p>
      <w:pPr>
        <w:numPr>
          <w:ilvl w:val="0"/>
          <w:numId w:val="1003"/>
        </w:numPr>
        <w:pStyle w:val="Compact"/>
      </w:pPr>
      <w:r>
        <w:rPr>
          <w:bCs/>
          <w:b/>
        </w:rPr>
        <w:t xml:space="preserve">Phase 2: Field Trials (Months 4–9)</w:t>
      </w:r>
      <w:r>
        <w:t xml:space="preserve">: Deploy sensor networks across three Melbourne precincts (CBD, Footscray, and Moorabbin) to collect real-time data on signal degradation during peak hours and climate events. Collaborate with the University of Melbourne’s School of Engineering to model network topology adjustments.</w:t>
      </w:r>
    </w:p>
    <w:p>
      <w:pPr>
        <w:numPr>
          <w:ilvl w:val="0"/>
          <w:numId w:val="1003"/>
        </w:numPr>
        <w:pStyle w:val="Compact"/>
      </w:pPr>
      <w:r>
        <w:rPr>
          <w:bCs/>
          <w:b/>
        </w:rPr>
        <w:t xml:space="preserve">Phase 3: Policy Integration (Months 10–12)</w:t>
      </w:r>
      <w:r>
        <w:t xml:space="preserve">: Draft a submission for the Victorian Government’s Digital Infrastructure Strategy, aligning recommendations with Australia’s</w:t>
      </w:r>
      <w:r>
        <w:t xml:space="preserve"> </w:t>
      </w:r>
      <w:r>
        <w:rPr>
          <w:iCs/>
          <w:i/>
        </w:rPr>
        <w:t xml:space="preserve">National Data Strategy</w:t>
      </w:r>
      <w:r>
        <w:t xml:space="preserve"> </w:t>
      </w:r>
      <w:r>
        <w:t xml:space="preserve">and Melbourne’s climate adaptation goals.</w:t>
      </w:r>
    </w:p>
    <w:bookmarkEnd w:id="24"/>
    <w:bookmarkStart w:id="25" w:name="Xb7adb642c436ccd4911b5b632c879fd909e00f1"/>
    <w:p>
      <w:pPr>
        <w:pStyle w:val="Heading2"/>
      </w:pPr>
      <w:r>
        <w:t xml:space="preserve">5. Expected Outcomes and Impact on Telecommunication Engineering in Australia</w:t>
      </w:r>
    </w:p>
    <w:p>
      <w:pPr>
        <w:pStyle w:val="FirstParagraph"/>
      </w:pPr>
      <w:r>
        <w:t xml:space="preserve">This research will produce:</w:t>
      </w:r>
    </w:p>
    <w:p>
      <w:pPr>
        <w:numPr>
          <w:ilvl w:val="0"/>
          <w:numId w:val="1004"/>
        </w:numPr>
        <w:pStyle w:val="Compact"/>
      </w:pPr>
      <w:r>
        <w:t xml:space="preserve">An open-access "Melbourne Network Resilience Toolkit" for</w:t>
      </w:r>
      <w:r>
        <w:t xml:space="preserve"> </w:t>
      </w:r>
      <w:r>
        <w:rPr>
          <w:iCs/>
          <w:i/>
        </w:rPr>
        <w:t xml:space="preserve">Telecommunication Engineer</w:t>
      </w:r>
      <w:r>
        <w:t xml:space="preserve">s, including GIS-based deployment simulators validated against local topography.</w:t>
      </w:r>
    </w:p>
    <w:p>
      <w:pPr>
        <w:numPr>
          <w:ilvl w:val="0"/>
          <w:numId w:val="1004"/>
        </w:numPr>
        <w:pStyle w:val="Compact"/>
      </w:pPr>
      <w:r>
        <w:t xml:space="preserve">A regulatory white paper addressing gaps in ACMA’s 2024 spectrum management guidelines for dense urban settings.</w:t>
      </w:r>
    </w:p>
    <w:p>
      <w:pPr>
        <w:numPr>
          <w:ilvl w:val="0"/>
          <w:numId w:val="1004"/>
        </w:numPr>
        <w:pStyle w:val="Compact"/>
      </w:pPr>
      <w:r>
        <w:t xml:space="preserve">Certification pathways for Melbourne engineers to lead climate-resilient network projects under the Australian Engineering Heritage Association framework.</w:t>
      </w:r>
    </w:p>
    <w:bookmarkEnd w:id="25"/>
    <w:bookmarkStart w:id="26" w:name="significance-why-melbourne-why-now"/>
    <w:p>
      <w:pPr>
        <w:pStyle w:val="Heading2"/>
      </w:pPr>
      <w:r>
        <w:t xml:space="preserve">6. Significance: Why Melbourne? Why Now?</w:t>
      </w:r>
    </w:p>
    <w:p>
      <w:pPr>
        <w:pStyle w:val="FirstParagraph"/>
      </w:pPr>
      <w:r>
        <w:t xml:space="preserve">Melbourne’s $49 billion infrastructure investment plan (2021–2031) creates an unparalleled opportunity to embed next-generation telecom design principles into urban fabric. As the city aims for carbon neutrality by 2050, the</w:t>
      </w:r>
      <w:r>
        <w:t xml:space="preserve"> </w:t>
      </w:r>
      <w:r>
        <w:rPr>
          <w:iCs/>
          <w:i/>
        </w:rPr>
        <w:t xml:space="preserve">Telecommunication Engineer</w:t>
      </w:r>
      <w:r>
        <w:t xml:space="preserve"> </w:t>
      </w:r>
      <w:r>
        <w:t xml:space="preserve">becomes pivotal in reducing network energy consumption—currently 7% of Australia’s total power usage (ABARES, 2023). This research directly supports Australia’s</w:t>
      </w:r>
      <w:r>
        <w:t xml:space="preserve"> </w:t>
      </w:r>
      <w:r>
        <w:rPr>
          <w:iCs/>
          <w:i/>
        </w:rPr>
        <w:t xml:space="preserve">Future Jobs Fund</w:t>
      </w:r>
      <w:r>
        <w:t xml:space="preserve">, targeting high-skilled roles for engineers in regional digital hubs. Failure to address Melbourne-specific challenges risks exacerbating the "digital divide" in outer suburbs like Wyndham, where NBN download speeds average 48 Mbps versus 150 Mbps in CBD (NBN Co, 2023).</w:t>
      </w:r>
    </w:p>
    <w:bookmarkEnd w:id="26"/>
    <w:bookmarkStart w:id="27" w:name="conclusion"/>
    <w:p>
      <w:pPr>
        <w:pStyle w:val="Heading2"/>
      </w:pPr>
      <w:r>
        <w:t xml:space="preserve">7. Conclusion</w:t>
      </w:r>
    </w:p>
    <w:p>
      <w:pPr>
        <w:pStyle w:val="FirstParagraph"/>
      </w:pPr>
      <w:r>
        <w:t xml:space="preserve">As Melbourne accelerates its Smart City ambitions under the</w:t>
      </w:r>
      <w:r>
        <w:t xml:space="preserve"> </w:t>
      </w:r>
      <w:r>
        <w:rPr>
          <w:iCs/>
          <w:i/>
        </w:rPr>
        <w:t xml:space="preserve">Melbourne Innovation Strategy</w:t>
      </w:r>
      <w:r>
        <w:t xml:space="preserve">, this research positions the</w:t>
      </w:r>
      <w:r>
        <w:t xml:space="preserve"> </w:t>
      </w:r>
      <w:r>
        <w:rPr>
          <w:iCs/>
          <w:i/>
        </w:rPr>
        <w:t xml:space="preserve">Telecommunication Engineer</w:t>
      </w:r>
      <w:r>
        <w:t xml:space="preserve"> </w:t>
      </w:r>
      <w:r>
        <w:t xml:space="preserve">as an indispensable catalyst for sustainable urban growth in Australia. By centering our methodology on Melbourne’s geographic, regulatory, and climatic realities, we deliver a scalable blueprint for telecommunication infrastructure that transcends local application. The outcomes will not only empower engineers operating within Australia but also establish Melbourne as a global benchmark for climate-responsive network design—a necessity for the future of telecommunications in urbanized nations.</w:t>
      </w:r>
    </w:p>
    <w:bookmarkEnd w:id="27"/>
    <w:bookmarkStart w:id="28" w:name="references-selected"/>
    <w:p>
      <w:pPr>
        <w:pStyle w:val="Heading2"/>
      </w:pPr>
      <w:r>
        <w:t xml:space="preserve">References (Selected)</w:t>
      </w:r>
    </w:p>
    <w:p>
      <w:pPr>
        <w:pStyle w:val="FirstParagraph"/>
      </w:pPr>
      <w:r>
        <w:rPr>
          <w:iCs/>
          <w:i/>
        </w:rPr>
        <w:t xml:space="preserve">Australian Communications and Media Authority (ACMA). (2023). Spectrum Use Survey Report. Canberra: ACMA.</w:t>
      </w:r>
      <w:r>
        <w:br/>
      </w:r>
      <w:r>
        <w:rPr>
          <w:iCs/>
          <w:i/>
        </w:rPr>
        <w:t xml:space="preserve">Victoria Government. (2021). Melbourne 2050: A Strategy for Growth, Jobs and Opportunity. Melbourne: Department of Economic Development, Jobs, Transport and Resources.</w:t>
      </w:r>
      <w:r>
        <w:br/>
      </w:r>
      <w:r>
        <w:rPr>
          <w:iCs/>
          <w:i/>
        </w:rPr>
        <w:t xml:space="preserve">ABARES. (2023). Energy Use in the Australian Telecommunications Sector. Canberra: Australian Bureau of Agricultural and Resource Economics.</w:t>
      </w:r>
      <w:r>
        <w:br/>
      </w:r>
      <w:r>
        <w:rPr>
          <w:iCs/>
          <w:i/>
        </w:rPr>
        <w:t xml:space="preserve">NBN Co. (2023). NBN Fixed Wireless Performance Report: Metropolitan Melbourne. Sydney: NBN 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Urban Infrastructure in Melbourne, Australia</dc:title>
  <dc:creator/>
  <cp:keywords/>
  <dcterms:created xsi:type="dcterms:W3CDTF">2026-05-02T20:26:09Z</dcterms:created>
  <dcterms:modified xsi:type="dcterms:W3CDTF">2026-05-02T20:26:09Z</dcterms:modified>
</cp:coreProperties>
</file>

<file path=docProps/custom.xml><?xml version="1.0" encoding="utf-8"?>
<Properties xmlns="http://schemas.openxmlformats.org/officeDocument/2006/custom-properties" xmlns:vt="http://schemas.openxmlformats.org/officeDocument/2006/docPropsVTypes"/>
</file>