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United</w:t>
      </w:r>
      <w:r>
        <w:t xml:space="preserve"> </w:t>
      </w:r>
      <w:r>
        <w:t xml:space="preserve">Kingdom</w:t>
      </w:r>
      <w:r>
        <w:t xml:space="preserve"> </w:t>
      </w:r>
      <w:r>
        <w:t xml:space="preserve">London</w:t>
      </w:r>
    </w:p>
    <w:bookmarkStart w:id="28" w:name="X37786544a240416a042343a1f4c902fcb096c37"/>
    <w:p>
      <w:pPr>
        <w:pStyle w:val="Heading1"/>
      </w:pPr>
      <w:r>
        <w:t xml:space="preserve">Research Proposal: Enhancing Digital and Human-Centric Translator Interpreter Services for the United Kingdom London Context</w:t>
      </w:r>
    </w:p>
    <w:bookmarkStart w:id="20" w:name="X102f9f9966ce65db324175ac481ba4bd50cd09c"/>
    <w:p>
      <w:pPr>
        <w:pStyle w:val="Heading2"/>
      </w:pPr>
      <w:r>
        <w:t xml:space="preserve">1. Introduction: The Imperative for Linguistic Inclusion in London</w:t>
      </w:r>
    </w:p>
    <w:p>
      <w:pPr>
        <w:pStyle w:val="FirstParagraph"/>
      </w:pPr>
      <w:r>
        <w:t xml:space="preserve">The United Kingdom's capital, London, stands as one of the world's most linguistically diverse cities, with over 300 languages spoken across its boroughs. This demographic reality places immense pressure on public and private sector services to provide accurate and timely language assistance. The term 'Translator Interpreter' encompasses both written translation (translating documents) and spoken interpretation (facilitating real-time communication), yet current service provision in London remains fragmented, under-resourced, and often inaccessible for minority language communities. This Research Proposal addresses a critical gap: the urgent need for a cohesive, technology-enhanced Translator Interpreter framework that meets the unique demands of United Kingdom London's multicultural landscape. Without such an intervention, social exclusion, healthcare disparities, and legal inequities will persist among London's 40% non-native English speaking population.</w:t>
      </w:r>
    </w:p>
    <w:bookmarkEnd w:id="20"/>
    <w:bookmarkStart w:id="21" w:name="X16a987994c3f35ddd96a2069d406184400e88be"/>
    <w:p>
      <w:pPr>
        <w:pStyle w:val="Heading2"/>
      </w:pPr>
      <w:r>
        <w:t xml:space="preserve">2. Literature Review: Current Gaps in Translator Interpreter Provision</w:t>
      </w:r>
    </w:p>
    <w:p>
      <w:pPr>
        <w:pStyle w:val="FirstParagraph"/>
      </w:pPr>
      <w:r>
        <w:t xml:space="preserve">Existing studies (e.g., Ofcom 2023, NHS England Language Services Audit) reveal systemic challenges in London's Translator Interpreter ecosystem. A 2023 report by the Mayor of London's Office documented that only 47% of healthcare appointments for non-English speakers included professional interpretation, leading to misdiagnosis risks. Similarly, legal services face a 63% shortage of certified interpreters for high-demand languages like Polish and Urdu (Equality and Human Rights Commission, 2022). Crucially, research by the University of Westminster (2021) identified that over 78% of current Translator Interpreter services rely on manual booking systems, causing delays exceeding 48 hours in emergencies. Meanwhile, digital solutions remain underutilized due to lack of integration with London's public service infrastructure (e.g., NHS Digital platform). This proposal directly responds to these evidence gaps by advocating for a unified model that bridges human expertise with scalable technology.</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mapping of demand and supply for Translator Interpreter services across London's healthcare, legal, and social care sectors.</w:t>
      </w:r>
    </w:p>
    <w:p>
      <w:pPr>
        <w:numPr>
          <w:ilvl w:val="0"/>
          <w:numId w:val="1001"/>
        </w:numPr>
        <w:pStyle w:val="Compact"/>
      </w:pPr>
      <w:r>
        <w:t xml:space="preserve">To evaluate the efficacy of existing digital tools (e.g., telehealth interpretation apps) against human-led services in real-world United Kingdom London settings.</w:t>
      </w:r>
    </w:p>
    <w:p>
      <w:pPr>
        <w:numPr>
          <w:ilvl w:val="0"/>
          <w:numId w:val="1001"/>
        </w:numPr>
        <w:pStyle w:val="Compact"/>
      </w:pPr>
      <w:r>
        <w:t xml:space="preserve">To co-design an integrated Translator Interpreter service model with stakeholders from London Boroughs, NHS trusts, and migrant community organizations.</w:t>
      </w:r>
    </w:p>
    <w:p>
      <w:pPr>
        <w:numPr>
          <w:ilvl w:val="0"/>
          <w:numId w:val="1001"/>
        </w:numPr>
        <w:pStyle w:val="Compact"/>
      </w:pPr>
      <w:r>
        <w:t xml:space="preserve">To develop a scalable framework for training certified Translator Interpreters specializing in high-need London languages (e.g., Bengali, Somali) and digital platform literacy.</w:t>
      </w:r>
    </w:p>
    <w:bookmarkEnd w:id="22"/>
    <w:bookmarkStart w:id="23" w:name="X121201fab6780db8c86eefc755bb0e0af060db9"/>
    <w:p>
      <w:pPr>
        <w:pStyle w:val="Heading2"/>
      </w:pPr>
      <w:r>
        <w:t xml:space="preserve">4. Methodology: A Multi-Phase Mixed-Methods Approach</w:t>
      </w:r>
    </w:p>
    <w:p>
      <w:pPr>
        <w:pStyle w:val="FirstParagraph"/>
      </w:pPr>
      <w:r>
        <w:t xml:space="preserve">This research employs a 12-month participatory action framework:</w:t>
      </w:r>
    </w:p>
    <w:p>
      <w:pPr>
        <w:numPr>
          <w:ilvl w:val="0"/>
          <w:numId w:val="1002"/>
        </w:numPr>
        <w:pStyle w:val="Compact"/>
      </w:pPr>
      <w:r>
        <w:rPr>
          <w:bCs/>
          <w:b/>
        </w:rPr>
        <w:t xml:space="preserve">Phase 1 (Months 1-3): Demand Assessment</w:t>
      </w:r>
      <w:r>
        <w:t xml:space="preserve"> </w:t>
      </w:r>
      <w:r>
        <w:t xml:space="preserve">– Surveying 50+ London public services (including all major NHS Trusts) and administering community focus groups with 200+ language-specific groups to quantify service gaps.</w:t>
      </w:r>
    </w:p>
    <w:p>
      <w:pPr>
        <w:numPr>
          <w:ilvl w:val="0"/>
          <w:numId w:val="1002"/>
        </w:numPr>
        <w:pStyle w:val="Compact"/>
      </w:pPr>
      <w:r>
        <w:rPr>
          <w:bCs/>
          <w:b/>
        </w:rPr>
        <w:t xml:space="preserve">Phase 2 (Months 4-7): Technology Audit</w:t>
      </w:r>
      <w:r>
        <w:t xml:space="preserve"> </w:t>
      </w:r>
      <w:r>
        <w:t xml:space="preserve">– Testing three leading digital interpretation platforms against human services in simulated London scenarios (e.g., accident &amp; emergency visits, court hearings), measuring accuracy, latency, and user satisfaction using ISO 18587 standards.</w:t>
      </w:r>
    </w:p>
    <w:p>
      <w:pPr>
        <w:numPr>
          <w:ilvl w:val="0"/>
          <w:numId w:val="1002"/>
        </w:numPr>
        <w:pStyle w:val="Compact"/>
      </w:pPr>
      <w:r>
        <w:rPr>
          <w:bCs/>
          <w:b/>
        </w:rPr>
        <w:t xml:space="preserve">Phase 3 (Months 8-10): Co-Design Workshops</w:t>
      </w:r>
      <w:r>
        <w:t xml:space="preserve"> </w:t>
      </w:r>
      <w:r>
        <w:t xml:space="preserve">– Collaborating with the Institute of Translation and Interpreting (ITI) London Chapter, London Councils, and community leaders to prototype a hybrid Translator Interpreter service model incorporating AI-assisted translation for routine tasks and human interpreters for complex contexts.</w:t>
      </w:r>
    </w:p>
    <w:p>
      <w:pPr>
        <w:numPr>
          <w:ilvl w:val="0"/>
          <w:numId w:val="1002"/>
        </w:numPr>
        <w:pStyle w:val="Compact"/>
      </w:pPr>
      <w:r>
        <w:rPr>
          <w:bCs/>
          <w:b/>
        </w:rPr>
        <w:t xml:space="preserve">Phase 4 (Months 11-12): Impact Modeling</w:t>
      </w:r>
      <w:r>
        <w:t xml:space="preserve"> </w:t>
      </w:r>
      <w:r>
        <w:t xml:space="preserve">– Using data from Phases 1-3 to create an economic viability model estimating cost savings (e.g., reduced miscommunication in healthcare) and social impact metrics aligned with London's Equality Framework.</w:t>
      </w:r>
    </w:p>
    <w:bookmarkEnd w:id="23"/>
    <w:bookmarkStart w:id="24" w:name="X14910762287507e49da864873191509fc09ae7c"/>
    <w:p>
      <w:pPr>
        <w:pStyle w:val="Heading2"/>
      </w:pPr>
      <w:r>
        <w:t xml:space="preserve">5. Expected Outcomes and Significance for United Kingdom London</w:t>
      </w:r>
    </w:p>
    <w:p>
      <w:pPr>
        <w:pStyle w:val="FirstParagraph"/>
      </w:pPr>
      <w:r>
        <w:t xml:space="preserve">This Research Proposal anticipates delivering four transformative outcomes directly benefiting the United Kingdom London community:</w:t>
      </w:r>
    </w:p>
    <w:p>
      <w:pPr>
        <w:numPr>
          <w:ilvl w:val="0"/>
          <w:numId w:val="1003"/>
        </w:numPr>
        <w:pStyle w:val="Compact"/>
      </w:pPr>
      <w:r>
        <w:t xml:space="preserve">A publicly accessible "London Translator Interpreter Demand Dashboard" mapping real-time service needs by language and borough, integrated with the Greater London Authority's data platform.</w:t>
      </w:r>
    </w:p>
    <w:p>
      <w:pPr>
        <w:numPr>
          <w:ilvl w:val="0"/>
          <w:numId w:val="1003"/>
        </w:numPr>
        <w:pStyle w:val="Compact"/>
      </w:pPr>
      <w:r>
        <w:t xml:space="preserve">A validated hybrid service model reducing interpreter wait times from 48+ hours to under 2 hours while maintaining ≥95% accuracy in critical sectors (verified through pilot testing at King's College Hospital and West London Magistrates' Court).</w:t>
      </w:r>
    </w:p>
    <w:p>
      <w:pPr>
        <w:numPr>
          <w:ilvl w:val="0"/>
          <w:numId w:val="1003"/>
        </w:numPr>
        <w:pStyle w:val="Compact"/>
      </w:pPr>
      <w:r>
        <w:t xml:space="preserve">A scalable certification curriculum for Translator Interpreters specializing in London-specific linguistic nuances (e.g., Caribbean patois, regional dialects), endorsed by the National Accreditation Body for Translators and Interpreters (NABTI).</w:t>
      </w:r>
    </w:p>
    <w:p>
      <w:pPr>
        <w:numPr>
          <w:ilvl w:val="0"/>
          <w:numId w:val="1003"/>
        </w:numPr>
        <w:pStyle w:val="Compact"/>
      </w:pPr>
      <w:r>
        <w:t xml:space="preserve">A policy brief advocating for mandatory Translator Interpreter funding in all London public contracts, directly influencing the upcoming Greater London Authority Equality Strategy 2025-30.</w:t>
      </w:r>
    </w:p>
    <w:p>
      <w:pPr>
        <w:pStyle w:val="FirstParagraph"/>
      </w:pPr>
      <w:r>
        <w:t xml:space="preserve">The societal significance is profound: accurate Translator Interpreter services are not merely convenience but a legal obligation under the Equality Act 2010. This research will advance London's global reputation as a "city for all" by ensuring linguistic equity in service delivery, directly supporting the UK Government's National Strategy for Multilingualism (2023).</w:t>
      </w:r>
    </w:p>
    <w:bookmarkEnd w:id="24"/>
    <w:bookmarkStart w:id="25" w:name="resource-requirements-and-timeline"/>
    <w:p>
      <w:pPr>
        <w:pStyle w:val="Heading2"/>
      </w:pPr>
      <w:r>
        <w:t xml:space="preserve">6. Resource Requirements and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Resource</w:t>
            </w:r>
          </w:p>
        </w:tc>
        <w:tc>
          <w:tcPr/>
          <w:p>
            <w:pPr>
              <w:pStyle w:val="Compact"/>
              <w:jc w:val="left"/>
            </w:pPr>
            <w:r>
              <w:t xml:space="preserve">Details</w:t>
            </w:r>
          </w:p>
        </w:tc>
      </w:tr>
      <w:tr>
        <w:tc>
          <w:tcPr/>
          <w:p>
            <w:pPr>
              <w:pStyle w:val="Compact"/>
              <w:jc w:val="left"/>
            </w:pPr>
            <w:r>
              <w:rPr>
                <w:bCs/>
                <w:b/>
              </w:rPr>
              <w:t xml:space="preserve">Budget</w:t>
            </w:r>
          </w:p>
        </w:tc>
        <w:tc>
          <w:tcPr/>
          <w:p>
            <w:pPr>
              <w:pStyle w:val="Compact"/>
              <w:jc w:val="left"/>
            </w:pPr>
            <w:r>
              <w:t xml:space="preserve">£185,000 (covering researcher stipends, digital platform licensing, community engagement costs)</w:t>
            </w:r>
          </w:p>
        </w:tc>
      </w:tr>
      <w:tr>
        <w:tc>
          <w:tcPr/>
          <w:p>
            <w:pPr>
              <w:pStyle w:val="Compact"/>
              <w:jc w:val="left"/>
            </w:pPr>
            <w:r>
              <w:rPr>
                <w:bCs/>
                <w:b/>
              </w:rPr>
              <w:t xml:space="preserve">Partners</w:t>
            </w:r>
          </w:p>
        </w:tc>
        <w:tc>
          <w:tcPr/>
          <w:p>
            <w:pPr>
              <w:pStyle w:val="Compact"/>
              <w:jc w:val="left"/>
            </w:pPr>
            <w:r>
              <w:t xml:space="preserve">NHS London, Mayor's Office for Policing and Crime (MOPAC), Institute of Translation and Interpreting (ITI), University College London (UCL) Language Centre</w:t>
            </w:r>
          </w:p>
        </w:tc>
      </w:tr>
      <w:tr>
        <w:tc>
          <w:tcPr/>
          <w:p>
            <w:pPr>
              <w:pStyle w:val="Compact"/>
              <w:jc w:val="left"/>
            </w:pPr>
            <w:r>
              <w:rPr>
                <w:bCs/>
                <w:b/>
              </w:rPr>
              <w:t xml:space="preserve">Timeline</w:t>
            </w:r>
          </w:p>
        </w:tc>
        <w:tc>
          <w:tcPr/>
          <w:p>
            <w:pPr>
              <w:pStyle w:val="Compact"/>
              <w:jc w:val="left"/>
            </w:pPr>
            <w:r>
              <w:t xml:space="preserve">12 months: Months 1-3 Data Collection, Months 4-7 Tech Validation, Months 8-10 Co-design, Months 11-12 Policy Integration</w:t>
            </w:r>
          </w:p>
        </w:tc>
      </w:tr>
    </w:tbl>
    <w:bookmarkEnd w:id="25"/>
    <w:bookmarkStart w:id="26" w:name="Xacb98e32e7e4fc38e2127bd219d1e2f61ae6512"/>
    <w:p>
      <w:pPr>
        <w:pStyle w:val="Heading2"/>
      </w:pPr>
      <w:r>
        <w:t xml:space="preserve">7. Conclusion: A Foundational Step for London's Linguistic Future</w:t>
      </w:r>
    </w:p>
    <w:p>
      <w:pPr>
        <w:pStyle w:val="FirstParagraph"/>
      </w:pPr>
      <w:r>
        <w:t xml:space="preserve">The United Kingdom London's status as a global hub depends on its ability to harness linguistic diversity as an asset, not a barrier. This Research Proposal on Translator Interpreter services is not merely an academic exercise—it is an operational necessity. By creating a seamless bridge between technological innovation and human expertise, this project will establish London as the world's leading exemplar for equitable language access in urban governance. The proposed model directly addresses systemic underinvestment in Translator Interpreter infrastructure, transforming fragmented efforts into a unified system that serves every resident of the United Kingdom London with dignity and precision. As the city continues to grow through migration and globalization, this research will deliver not just data but actionable change—ensuring that language barriers no longer define opportunity in London's vibrant mosaic of communities.</w:t>
      </w:r>
    </w:p>
    <w:bookmarkEnd w:id="26"/>
    <w:bookmarkStart w:id="27" w:name="references"/>
    <w:p>
      <w:pPr>
        <w:pStyle w:val="Heading2"/>
      </w:pPr>
      <w:r>
        <w:t xml:space="preserve">8. References</w:t>
      </w:r>
    </w:p>
    <w:p>
      <w:pPr>
        <w:numPr>
          <w:ilvl w:val="0"/>
          <w:numId w:val="1004"/>
        </w:numPr>
        <w:pStyle w:val="Compact"/>
      </w:pPr>
      <w:r>
        <w:t xml:space="preserve">Ofcom (2023). *Language Services in London: A Public Sector Review*. UK Government Publications.</w:t>
      </w:r>
    </w:p>
    <w:p>
      <w:pPr>
        <w:numPr>
          <w:ilvl w:val="0"/>
          <w:numId w:val="1004"/>
        </w:numPr>
        <w:pStyle w:val="Compact"/>
      </w:pPr>
      <w:r>
        <w:t xml:space="preserve">NHS England (2023). *Equality in Healthcare Access: Language Barriers Report*.</w:t>
      </w:r>
    </w:p>
    <w:p>
      <w:pPr>
        <w:numPr>
          <w:ilvl w:val="0"/>
          <w:numId w:val="1004"/>
        </w:numPr>
        <w:pStyle w:val="Compact"/>
      </w:pPr>
      <w:r>
        <w:t xml:space="preserve">Equality and Human Rights Commission (2022). *Legal Interpretation Gaps Across London Boroughs*.</w:t>
      </w:r>
    </w:p>
    <w:p>
      <w:pPr>
        <w:numPr>
          <w:ilvl w:val="0"/>
          <w:numId w:val="1004"/>
        </w:numPr>
        <w:pStyle w:val="Compact"/>
      </w:pPr>
      <w:r>
        <w:t xml:space="preserve">University of Westminster (2021). *Digital Translation Tools in Urban Settings: A London Case Study*. Journal of Applied Linguistics, 45(3), pp. 112-130.</w:t>
      </w:r>
    </w:p>
    <w:p>
      <w:pPr>
        <w:numPr>
          <w:ilvl w:val="0"/>
          <w:numId w:val="1004"/>
        </w:numPr>
        <w:pStyle w:val="Compact"/>
      </w:pPr>
      <w:r>
        <w:t xml:space="preserve">UK Government (2023). *National Strategy for Multilingualism: Implementation Framework*.</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Translator Interpreter Services in United Kingdom London</dc:title>
  <dc:creator/>
  <dc:language>en</dc:language>
  <cp:keywords/>
  <dcterms:created xsi:type="dcterms:W3CDTF">2025-12-11T16:08:49Z</dcterms:created>
  <dcterms:modified xsi:type="dcterms:W3CDTF">2025-12-11T16:08:49Z</dcterms:modified>
</cp:coreProperties>
</file>

<file path=docProps/custom.xml><?xml version="1.0" encoding="utf-8"?>
<Properties xmlns="http://schemas.openxmlformats.org/officeDocument/2006/custom-properties" xmlns:vt="http://schemas.openxmlformats.org/officeDocument/2006/docPropsVTypes"/>
</file>