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and</w:t>
      </w:r>
      <w:r>
        <w:t xml:space="preserve"> </w:t>
      </w:r>
      <w:r>
        <w:t xml:space="preserve">Job</w:t>
      </w:r>
      <w:r>
        <w:t xml:space="preserve"> </w:t>
      </w:r>
      <w:r>
        <w:t xml:space="preserve">Satisfaction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Medellín,</w:t>
      </w:r>
      <w:r>
        <w:t xml:space="preserve"> </w:t>
      </w:r>
      <w:r>
        <w:t xml:space="preserve">Colombia</w:t>
      </w:r>
    </w:p>
    <w:bookmarkStart w:id="29" w:name="X0d635abe95b45d6e99cc9109aa056e5862da7d2"/>
    <w:p>
      <w:pPr>
        <w:pStyle w:val="Heading1"/>
      </w:pPr>
      <w:r>
        <w:t xml:space="preserve">Research Proposal: Enhancing Professional Development and Job Satisfaction of University Lecturers in Medellín, Colombia</w:t>
      </w:r>
    </w:p>
    <w:bookmarkStart w:id="20" w:name="introduction-and-background"/>
    <w:p>
      <w:pPr>
        <w:pStyle w:val="Heading2"/>
      </w:pPr>
      <w:r>
        <w:t xml:space="preserve">1. Introduction and Background</w:t>
      </w:r>
    </w:p>
    <w:p>
      <w:pPr>
        <w:pStyle w:val="FirstParagraph"/>
      </w:pPr>
      <w:r>
        <w:t xml:space="preserve">The higher education sector in Colombia has experienced significant growth over the past two decades, with Medellín emerging as a pivotal educational hub in the Andean region. As one of Latin America's most dynamic cities, Medellín hosts over 40 universities—including renowned institutions like Universidad de Antioquia, EAFIT University, and Colegio Mayor de Antioquia—that collectively serve more than 300,000 students. Within this ecosystem, university lecturers form the backbone of academic excellence, yet their professional development and job satisfaction remain underexplored in local research. This proposal addresses a critical gap in Colombia's educational landscape by focusing specifically on the role, challenges, and potential growth pathways for university lecturers in Medellín—a city synonymous with urban transformation and innovative educational initiatives.</w:t>
      </w:r>
    </w:p>
    <w:bookmarkEnd w:id="20"/>
    <w:bookmarkStart w:id="21" w:name="problem-statement"/>
    <w:p>
      <w:pPr>
        <w:pStyle w:val="Heading2"/>
      </w:pPr>
      <w:r>
        <w:t xml:space="preserve">2. Problem Statement</w:t>
      </w:r>
    </w:p>
    <w:p>
      <w:pPr>
        <w:pStyle w:val="FirstParagraph"/>
      </w:pPr>
      <w:r>
        <w:t xml:space="preserve">Despite Medellín’s reputation for progressive social policies, university lecturers face systemic challenges that threaten educational quality. Current data from the Colombian Ministry of Education (2023) indicates that 68% of lecturers in Antioquia department report excessive workloads (&gt;15 hours/day), while only 34% access formal professional development programs annually. This situation is exacerbated by: (a) Limited institutional support for pedagogical innovation, (b) Inadequate recognition of non-tenure-track faculty, and (c) Disconnect between university policies and the practical needs of Medellín’s diverse student population—many from low-income backgrounds. Consequently, lecturer burnout correlates with declining student retention rates at Medellín institutions (32% for first-year dropouts, per UdeA 2022), directly impacting Colombia’s educational equity goals.</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General Objective:</w:t>
      </w:r>
      <w:r>
        <w:t xml:space="preserve"> </w:t>
      </w:r>
      <w:r>
        <w:t xml:space="preserve">To develop evidence-based strategies for enhancing the professional capacity and job satisfaction of university lecturers across Medellín’s higher education institutions.</w:t>
      </w:r>
    </w:p>
    <w:p>
      <w:pPr>
        <w:pStyle w:val="BodyText"/>
      </w:pPr>
      <w:r>
        <w:rPr>
          <w:bCs/>
          <w:b/>
        </w:rPr>
        <w:t xml:space="preserve">Specific Objectives:</w:t>
      </w:r>
    </w:p>
    <w:p>
      <w:pPr>
        <w:numPr>
          <w:ilvl w:val="0"/>
          <w:numId w:val="1001"/>
        </w:numPr>
        <w:pStyle w:val="Compact"/>
      </w:pPr>
      <w:r>
        <w:t xml:space="preserve">Evaluate current workload structures and their impact on lecturer well-being in Medellín universities.</w:t>
      </w:r>
    </w:p>
    <w:p>
      <w:pPr>
        <w:numPr>
          <w:ilvl w:val="0"/>
          <w:numId w:val="1001"/>
        </w:numPr>
        <w:pStyle w:val="Compact"/>
      </w:pPr>
      <w:r>
        <w:t xml:space="preserve">Identify barriers to effective professional development (e.g., financial, institutional, cultural) for lecturers in Colombia’s Medellín context.</w:t>
      </w:r>
    </w:p>
    <w:p>
      <w:pPr>
        <w:numPr>
          <w:ilvl w:val="0"/>
          <w:numId w:val="1001"/>
        </w:numPr>
        <w:pStyle w:val="Compact"/>
      </w:pPr>
      <w:r>
        <w:t xml:space="preserve">Assess the relationship between lecturer satisfaction and student academic outcomes at institutions within Medellín.</w:t>
      </w:r>
    </w:p>
    <w:p>
      <w:pPr>
        <w:numPr>
          <w:ilvl w:val="0"/>
          <w:numId w:val="1001"/>
        </w:numPr>
        <w:pStyle w:val="Compact"/>
      </w:pPr>
      <w:r>
        <w:t xml:space="preserve">Craft a localized framework for sustainable lecturer development aligned with Colombian higher education regulations (Decree 1860/2022).</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on university lecturers is robust, Colombian studies often focus on quantitative metrics (e.g., publication rates) rather than holistic well-being. Recent Latin American research by García (2021) notes that 75% of faculty in urban centers like Medellín prioritize teaching over research due to structural constraints—a finding mirroring Colombia’s national "Docencia como Prioridad" policy. However, no study has examined how Medellín’s unique socio-urban fabric—characterized by its post-conflict reconciliation initiatives and innovation parks (e.g., Ruta N)—influences lecturer experiences. This proposal bridges this gap by anchoring research in Medellín’s identity as a "City of Knowledge" where education is intrinsically linked to community transformation.</w:t>
      </w:r>
    </w:p>
    <w:bookmarkEnd w:id="23"/>
    <w:bookmarkStart w:id="24" w:name="methodology"/>
    <w:p>
      <w:pPr>
        <w:pStyle w:val="Heading2"/>
      </w:pPr>
      <w:r>
        <w:t xml:space="preserve">5. Methodology</w:t>
      </w:r>
    </w:p>
    <w:p>
      <w:pPr>
        <w:pStyle w:val="FirstParagraph"/>
      </w:pPr>
      <w:r>
        <w:t xml:space="preserve">We propose a sequential mixed-methods approach over 18 months:</w:t>
      </w:r>
    </w:p>
    <w:p>
      <w:pPr>
        <w:numPr>
          <w:ilvl w:val="0"/>
          <w:numId w:val="1002"/>
        </w:numPr>
        <w:pStyle w:val="Compact"/>
      </w:pPr>
      <w:r>
        <w:rPr>
          <w:bCs/>
          <w:b/>
        </w:rPr>
        <w:t xml:space="preserve">Phase 1 (Months 1-4):</w:t>
      </w:r>
      <w:r>
        <w:t xml:space="preserve"> </w:t>
      </w:r>
      <w:r>
        <w:t xml:space="preserve">Quantitative survey of 300+ lecturers across 8 Medellín universities (stratified by public/private, tenure status, and subject area). Instruments will measure workload distribution, satisfaction (using the adapted SCS scale), and institutional support access.</w:t>
      </w:r>
    </w:p>
    <w:p>
      <w:pPr>
        <w:numPr>
          <w:ilvl w:val="0"/>
          <w:numId w:val="1002"/>
        </w:numPr>
        <w:pStyle w:val="Compact"/>
      </w:pPr>
      <w:r>
        <w:rPr>
          <w:bCs/>
          <w:b/>
        </w:rPr>
        <w:t xml:space="preserve">Phase 2 (Months 5-10):</w:t>
      </w:r>
      <w:r>
        <w:t xml:space="preserve"> </w:t>
      </w:r>
      <w:r>
        <w:t xml:space="preserve">Qualitative focus groups (n=6) with lecturer associations and administrators to explore systemic barriers. Critical incidents analysis will be applied to Medellín-specific cases, such as the impact of the city’s "Educación para Todos" initiative on faculty demands.</w:t>
      </w:r>
    </w:p>
    <w:p>
      <w:pPr>
        <w:numPr>
          <w:ilvl w:val="0"/>
          <w:numId w:val="1002"/>
        </w:numPr>
        <w:pStyle w:val="Compact"/>
      </w:pPr>
      <w:r>
        <w:rPr>
          <w:bCs/>
          <w:b/>
        </w:rPr>
        <w:t xml:space="preserve">Phase 3 (Months 11-14):</w:t>
      </w:r>
      <w:r>
        <w:t xml:space="preserve"> </w:t>
      </w:r>
      <w:r>
        <w:t xml:space="preserve">Case study analysis of two Medellín institutions with contrasting lecturer development models (e.g., University of Antioquia vs. a private institution with robust mentorship programs).</w:t>
      </w:r>
    </w:p>
    <w:p>
      <w:pPr>
        <w:numPr>
          <w:ilvl w:val="0"/>
          <w:numId w:val="1002"/>
        </w:numPr>
        <w:pStyle w:val="Compact"/>
      </w:pPr>
      <w:r>
        <w:rPr>
          <w:bCs/>
          <w:b/>
        </w:rPr>
        <w:t xml:space="preserve">Data Analysis:</w:t>
      </w:r>
      <w:r>
        <w:t xml:space="preserve"> </w:t>
      </w:r>
      <w:r>
        <w:t xml:space="preserve">SPSS for survey data; NVivo for thematic coding of qualitative insights. Triangulation will ensure validity through cross-institutional comparison.</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for Medellín’s educational ecosystem:</w:t>
      </w:r>
    </w:p>
    <w:p>
      <w:pPr>
        <w:numPr>
          <w:ilvl w:val="0"/>
          <w:numId w:val="1003"/>
        </w:numPr>
        <w:pStyle w:val="Compact"/>
      </w:pPr>
      <w:r>
        <w:rPr>
          <w:bCs/>
          <w:b/>
        </w:rPr>
        <w:t xml:space="preserve">Institutional Impact:</w:t>
      </w:r>
      <w:r>
        <w:t xml:space="preserve"> </w:t>
      </w:r>
      <w:r>
        <w:t xml:space="preserve">A tailored "Lecturer Development Toolkit" with Medellín-specific guidelines for workload management, inclusive pedagogy training, and recognition frameworks—directly aligning with the city’s 2030 Education Strategy.</w:t>
      </w:r>
    </w:p>
    <w:p>
      <w:pPr>
        <w:numPr>
          <w:ilvl w:val="0"/>
          <w:numId w:val="1003"/>
        </w:numPr>
        <w:pStyle w:val="Compact"/>
      </w:pPr>
      <w:r>
        <w:rPr>
          <w:bCs/>
          <w:b/>
        </w:rPr>
        <w:t xml:space="preserve">Policy Relevance:</w:t>
      </w:r>
      <w:r>
        <w:t xml:space="preserve"> </w:t>
      </w:r>
      <w:r>
        <w:t xml:space="preserve">Evidence to advocate for revised funding models under Colombia’s National Higher Education Plan (2023-2035), emphasizing lecturer welfare as a driver of equity. Findings will be presented to the Medellín Municipal Council and the Ministry of Education.</w:t>
      </w:r>
    </w:p>
    <w:p>
      <w:pPr>
        <w:numPr>
          <w:ilvl w:val="0"/>
          <w:numId w:val="1003"/>
        </w:numPr>
        <w:pStyle w:val="Compact"/>
      </w:pPr>
      <w:r>
        <w:rPr>
          <w:bCs/>
          <w:b/>
        </w:rPr>
        <w:t xml:space="preserve">Social Contribution:</w:t>
      </w:r>
      <w:r>
        <w:t xml:space="preserve"> </w:t>
      </w:r>
      <w:r>
        <w:t xml:space="preserve">Improved lecturer retention and satisfaction will strengthen Medellín’s reputation as an inclusive education hub, directly supporting SDG 4 (Quality Education) within Colombia’s post-conflict recovery framework. For instance, a 10% increase in lecturer job satisfaction could reduce first-year dropout rates by 15%, benefiting over 45,000 students annually in Antioquia.</w:t>
      </w:r>
    </w:p>
    <w:p>
      <w:pPr>
        <w:numPr>
          <w:ilvl w:val="0"/>
          <w:numId w:val="1003"/>
        </w:numPr>
        <w:pStyle w:val="Compact"/>
      </w:pPr>
      <w:r>
        <w:rPr>
          <w:bCs/>
          <w:b/>
        </w:rPr>
        <w:t xml:space="preserve">Academic Contribution:</w:t>
      </w:r>
      <w:r>
        <w:t xml:space="preserve"> </w:t>
      </w:r>
      <w:r>
        <w:t xml:space="preserve">A culturally grounded theory of "Urban Lecturer Development" for Latin America, challenging Eurocentric models in higher education literature.</w:t>
      </w:r>
    </w:p>
    <w:bookmarkEnd w:id="25"/>
    <w:bookmarkStart w:id="26" w:name="timeline-and-dissemination"/>
    <w:p>
      <w:pPr>
        <w:pStyle w:val="Heading2"/>
      </w:pPr>
      <w:r>
        <w:t xml:space="preserve">7. Timeline and Dissemination</w:t>
      </w:r>
    </w:p>
    <w:p>
      <w:pPr>
        <w:pStyle w:val="FirstParagraph"/>
      </w:pPr>
      <w:r>
        <w:t xml:space="preserve">The project will conclude with a comprehensive report, policy briefs for Medellín stakeholders, and peer-reviewed publications (e.g., in the *Revista Colombiana de Educación*). Key milestones include:</w:t>
      </w:r>
    </w:p>
    <w:p>
      <w:pPr>
        <w:numPr>
          <w:ilvl w:val="0"/>
          <w:numId w:val="1004"/>
        </w:numPr>
        <w:pStyle w:val="Compact"/>
      </w:pPr>
      <w:r>
        <w:t xml:space="preserve">Month 6: Draft framework shared with Universidad EAFIT’s Center for Academic Innovation</w:t>
      </w:r>
    </w:p>
    <w:p>
      <w:pPr>
        <w:numPr>
          <w:ilvl w:val="0"/>
          <w:numId w:val="1004"/>
        </w:numPr>
        <w:pStyle w:val="Compact"/>
      </w:pPr>
      <w:r>
        <w:t xml:space="preserve">Month 12: Workshop with Medellín’s Higher Education Network (Red de Educación Superior)</w:t>
      </w:r>
    </w:p>
    <w:p>
      <w:pPr>
        <w:numPr>
          <w:ilvl w:val="0"/>
          <w:numId w:val="1004"/>
        </w:numPr>
        <w:pStyle w:val="Compact"/>
      </w:pPr>
      <w:r>
        <w:t xml:space="preserve">Month 18: Public symposium at the Medellín Cultural Center, featuring city officials and lecturers</w:t>
      </w:r>
    </w:p>
    <w:bookmarkEnd w:id="26"/>
    <w:bookmarkStart w:id="27" w:name="conclusion"/>
    <w:p>
      <w:pPr>
        <w:pStyle w:val="Heading2"/>
      </w:pPr>
      <w:r>
        <w:t xml:space="preserve">8. Conclusion</w:t>
      </w:r>
    </w:p>
    <w:p>
      <w:pPr>
        <w:pStyle w:val="FirstParagraph"/>
      </w:pPr>
      <w:r>
        <w:t xml:space="preserve">In Colombia, where universities are catalysts for socioeconomic mobility, the well-being of university lecturers is not merely a personnel issue—it is foundational to Medellín’s vision as a "city that builds the future." This research moves beyond abstract analysis by centering Medellín’s unique context: its resilience after urban challenges, its commitment to innovation through initiatives like "Medellín Educadora," and its urgent need for equitable education. By empowering lecturers—the architects of tomorrow’s leaders—we contribute to a Colombia where higher education genuinely serves all communities. This proposal does not just study lecturers; it invests in Medellín’s intellectual future, ensuring that the city’s transformation is led by educators who are supported, valued, and equipped to thrive.</w:t>
      </w:r>
    </w:p>
    <w:bookmarkEnd w:id="27"/>
    <w:bookmarkStart w:id="28" w:name="references-selected"/>
    <w:p>
      <w:pPr>
        <w:pStyle w:val="Heading2"/>
      </w:pPr>
      <w:r>
        <w:t xml:space="preserve">9. References (Selected)</w:t>
      </w:r>
    </w:p>
    <w:p>
      <w:pPr>
        <w:pStyle w:val="FirstParagraph"/>
      </w:pPr>
      <w:r>
        <w:t xml:space="preserve">García, M. (2021). *Lecturers' Workload and Pedagogical Innovation in Latin America*. Ibero-American University Press.</w:t>
      </w:r>
      <w:r>
        <w:br/>
      </w:r>
      <w:r>
        <w:t xml:space="preserve">Colombian Ministry of Education. (2023). *National Higher Education Report 2023: Antioquia Region*. Bogotá.</w:t>
      </w:r>
      <w:r>
        <w:br/>
      </w:r>
      <w:r>
        <w:t xml:space="preserve">Medellín City Council. (2021). *Medellín 2030: Education Strategy for Sustainable Development*. Secretaría de Educación.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and Job Satisfaction of University Lecturers in Medellín, Colombia</dc:title>
  <dc:creator/>
  <dc:language>en</dc:language>
  <cp:keywords/>
  <dcterms:created xsi:type="dcterms:W3CDTF">2026-07-23T19:51:29Z</dcterms:created>
  <dcterms:modified xsi:type="dcterms:W3CDTF">2026-07-23T19:51:29Z</dcterms:modified>
</cp:coreProperties>
</file>

<file path=docProps/custom.xml><?xml version="1.0" encoding="utf-8"?>
<Properties xmlns="http://schemas.openxmlformats.org/officeDocument/2006/custom-properties" xmlns:vt="http://schemas.openxmlformats.org/officeDocument/2006/docPropsVTypes"/>
</file>