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Egypt</w:t>
      </w:r>
      <w:r>
        <w:t xml:space="preserve"> </w:t>
      </w:r>
      <w:r>
        <w:t xml:space="preserve">Cairo</w:t>
      </w:r>
    </w:p>
    <w:bookmarkStart w:id="29" w:name="Xc55604387f0a0e6c50935936ca22431c86d203a"/>
    <w:p>
      <w:pPr>
        <w:pStyle w:val="Heading1"/>
      </w:pPr>
      <w:r>
        <w:t xml:space="preserve">Research Proposal: Institutional Frameworks and Professional Development for University Lecturers in Egypt Cairo</w:t>
      </w:r>
    </w:p>
    <w:bookmarkStart w:id="20" w:name="abstract"/>
    <w:p>
      <w:pPr>
        <w:pStyle w:val="Heading2"/>
      </w:pPr>
      <w:r>
        <w:t xml:space="preserve">Abstract</w:t>
      </w:r>
    </w:p>
    <w:p>
      <w:pPr>
        <w:pStyle w:val="FirstParagraph"/>
      </w:pPr>
      <w:r>
        <w:t xml:space="preserve">This research proposal addresses critical challenges facing</w:t>
      </w:r>
      <w:r>
        <w:t xml:space="preserve"> </w:t>
      </w:r>
      <w:r>
        <w:rPr>
          <w:bCs/>
          <w:b/>
        </w:rPr>
        <w:t xml:space="preserve">University Lecturer</w:t>
      </w:r>
      <w:r>
        <w:t xml:space="preserve"> </w:t>
      </w:r>
      <w:r>
        <w:t xml:space="preserve">roles within higher education institutions in</w:t>
      </w:r>
      <w:r>
        <w:t xml:space="preserve"> </w:t>
      </w:r>
      <w:r>
        <w:rPr>
          <w:bCs/>
          <w:b/>
        </w:rPr>
        <w:t xml:space="preserve">Egypt Cairo</w:t>
      </w:r>
      <w:r>
        <w:t xml:space="preserve">. With Cairo housing over 60% of Egypt’s tertiary institutions and serving as the nation’s academic epicenter, this study investigates the systemic barriers to effective teaching, research productivity, and professional growth among faculty. Drawing on qualitative and quantitative data from five leading universities in Cairo (Cairo University, Ain Shams University, American University in Cairo, Helwan University, and Zewail City of Science and Technology), the research aims to develop actionable recommendations for enhancing lecturer performance. The findings will directly inform policy reforms under Egypt’s Vision 2030 education strategy, targeting sustainable capacity building for academic staff in the heart of Egyptian academia.</w:t>
      </w:r>
    </w:p>
    <w:bookmarkEnd w:id="20"/>
    <w:bookmarkStart w:id="21" w:name="introduction-and-problem-statement"/>
    <w:p>
      <w:pPr>
        <w:pStyle w:val="Heading2"/>
      </w:pPr>
      <w:r>
        <w:t xml:space="preserve">1. Introduction and Problem Statement</w:t>
      </w:r>
    </w:p>
    <w:p>
      <w:pPr>
        <w:pStyle w:val="FirstParagraph"/>
      </w:pPr>
      <w:r>
        <w:t xml:space="preserve">Egypt’s higher education system is undergoing significant transformation, yet</w:t>
      </w:r>
      <w:r>
        <w:t xml:space="preserve"> </w:t>
      </w:r>
      <w:r>
        <w:rPr>
          <w:bCs/>
          <w:b/>
        </w:rPr>
        <w:t xml:space="preserve">University Lecturer</w:t>
      </w:r>
      <w:r>
        <w:t xml:space="preserve"> </w:t>
      </w:r>
      <w:r>
        <w:t xml:space="preserve">effectiveness remains a systemic bottleneck. In</w:t>
      </w:r>
      <w:r>
        <w:t xml:space="preserve"> </w:t>
      </w:r>
      <w:r>
        <w:rPr>
          <w:bCs/>
          <w:b/>
        </w:rPr>
        <w:t xml:space="preserve">Egypt Cairo</w:t>
      </w:r>
      <w:r>
        <w:t xml:space="preserve">, where universities face unprecedented student enrollment growth (exceeding 3 million in 2023), lecturers grapple with overcrowded classrooms, outdated curricula, and limited professional development opportunities. The Egyptian Ministry of Higher Education (MoHE) reported a nationwide lecturer vacancy rate of 18% in 2022, disproportionately impacting Cairo’s institutions due to their national recruitment roles. This crisis undermines Egypt’s strategic goals for human capital development and global academic competitiveness. This</w:t>
      </w:r>
      <w:r>
        <w:t xml:space="preserve"> </w:t>
      </w:r>
      <w:r>
        <w:rPr>
          <w:bCs/>
          <w:b/>
        </w:rPr>
        <w:t xml:space="preserve">Research Proposal</w:t>
      </w:r>
      <w:r>
        <w:t xml:space="preserve"> </w:t>
      </w:r>
      <w:r>
        <w:t xml:space="preserve">specifically interrogates how institutional structures in Cairo universities influence lecturer motivation, pedagogical innovation, and research output—critical factors for Egypt’s knowledge economy.</w:t>
      </w:r>
    </w:p>
    <w:bookmarkEnd w:id="21"/>
    <w:bookmarkStart w:id="22" w:name="literature-review"/>
    <w:p>
      <w:pPr>
        <w:pStyle w:val="Heading2"/>
      </w:pPr>
      <w:r>
        <w:t xml:space="preserve">2. Literature Review</w:t>
      </w:r>
    </w:p>
    <w:p>
      <w:pPr>
        <w:pStyle w:val="FirstParagraph"/>
      </w:pPr>
      <w:r>
        <w:t xml:space="preserve">Existing studies on Egyptian academia (e.g., El-Masry &amp; Khamis, 2021; MoHE, 2019) highlight structural issues: excessive teaching loads (averaging 15+ contact hours weekly), minimal research incentives, and bureaucratic hurdles for academic mobility. However, no comprehensive research has centered on</w:t>
      </w:r>
      <w:r>
        <w:t xml:space="preserve"> </w:t>
      </w:r>
      <w:r>
        <w:rPr>
          <w:bCs/>
          <w:b/>
        </w:rPr>
        <w:t xml:space="preserve">University Lecturer</w:t>
      </w:r>
      <w:r>
        <w:t xml:space="preserve"> </w:t>
      </w:r>
      <w:r>
        <w:t xml:space="preserve">experiences within the unique socio-academic ecosystem of</w:t>
      </w:r>
      <w:r>
        <w:t xml:space="preserve"> </w:t>
      </w:r>
      <w:r>
        <w:rPr>
          <w:bCs/>
          <w:b/>
        </w:rPr>
        <w:t xml:space="preserve">Egypt Cairo</w:t>
      </w:r>
      <w:r>
        <w:t xml:space="preserve">. Prior work by Al-Sayyad (2020) noted Cairo’s universities suffer from "regional neglect" in policy implementation compared to newer institutions outside the capital, exacerbating lecturer attrition. This gap necessitates a localized study that captures how Cairo’s dense urban academic environment—characterized by resource competition, cultural diversity of students, and proximity to government decision-makers—influences lecturer efficacy. Our research bridges this void through targeted fieldwork in Cairo’s institutional landscape.</w:t>
      </w:r>
    </w:p>
    <w:bookmarkEnd w:id="22"/>
    <w:bookmarkStart w:id="23" w:name="research-objectives"/>
    <w:p>
      <w:pPr>
        <w:pStyle w:val="Heading2"/>
      </w:pPr>
      <w:r>
        <w:t xml:space="preserve">3. Research Objectives</w:t>
      </w:r>
    </w:p>
    <w:p>
      <w:pPr>
        <w:numPr>
          <w:ilvl w:val="0"/>
          <w:numId w:val="1001"/>
        </w:numPr>
        <w:pStyle w:val="Compact"/>
      </w:pPr>
      <w:r>
        <w:t xml:space="preserve">To assess the current workload distribution, professional development access, and job satisfaction levels among University Lecturers across key universities in Cairo.</w:t>
      </w:r>
    </w:p>
    <w:p>
      <w:pPr>
        <w:numPr>
          <w:ilvl w:val="0"/>
          <w:numId w:val="1001"/>
        </w:numPr>
        <w:pStyle w:val="Compact"/>
      </w:pPr>
      <w:r>
        <w:t xml:space="preserve">To analyze how institutional policies (e.g., promotion criteria, research funding allocation) in Cairo-based universities align with national education strategies like Egypt’s "National Strategy for Higher Education 2030".</w:t>
      </w:r>
    </w:p>
    <w:p>
      <w:pPr>
        <w:numPr>
          <w:ilvl w:val="0"/>
          <w:numId w:val="1001"/>
        </w:numPr>
        <w:pStyle w:val="Compact"/>
      </w:pPr>
      <w:r>
        <w:t xml:space="preserve">To identify context-specific barriers (e.g., digital infrastructure gaps, student-lecturer ratio challenges) uniquely affecting University Lecturers in Cairo.</w:t>
      </w:r>
    </w:p>
    <w:p>
      <w:pPr>
        <w:numPr>
          <w:ilvl w:val="0"/>
          <w:numId w:val="1001"/>
        </w:numPr>
        <w:pStyle w:val="Compact"/>
      </w:pPr>
      <w:r>
        <w:t xml:space="preserve">To co-create evidence-based interventions with stakeholders (MoHE, university leadership, lecturer unions) for sustainable lecturer capacity enhancement.</w:t>
      </w:r>
    </w:p>
    <w:bookmarkEnd w:id="23"/>
    <w:bookmarkStart w:id="24" w:name="methodology"/>
    <w:p>
      <w:pPr>
        <w:pStyle w:val="Heading2"/>
      </w:pPr>
      <w:r>
        <w:t xml:space="preserve">4. Methodology</w:t>
      </w:r>
    </w:p>
    <w:p>
      <w:pPr>
        <w:pStyle w:val="FirstParagraph"/>
      </w:pPr>
      <w:r>
        <w:t xml:space="preserve">This mixed-methods study employs a sequential explanatory design over 18 months within the Cairo context:</w:t>
      </w:r>
    </w:p>
    <w:p>
      <w:pPr>
        <w:numPr>
          <w:ilvl w:val="0"/>
          <w:numId w:val="1002"/>
        </w:numPr>
        <w:pStyle w:val="Compact"/>
      </w:pPr>
      <w:r>
        <w:rPr>
          <w:bCs/>
          <w:b/>
        </w:rPr>
        <w:t xml:space="preserve">Phase 1 (Quantitative):</w:t>
      </w:r>
      <w:r>
        <w:t xml:space="preserve"> </w:t>
      </w:r>
      <w:r>
        <w:t xml:space="preserve">Survey of 600+ University Lecturers across five Cairo universities, measuring workloads, satisfaction (using Likert scales), and institutional support access. Stratified sampling ensures representation from STEM, humanities, and social sciences disciplines.</w:t>
      </w:r>
    </w:p>
    <w:p>
      <w:pPr>
        <w:numPr>
          <w:ilvl w:val="0"/>
          <w:numId w:val="1002"/>
        </w:numPr>
        <w:pStyle w:val="Compact"/>
      </w:pPr>
      <w:r>
        <w:rPr>
          <w:bCs/>
          <w:b/>
        </w:rPr>
        <w:t xml:space="preserve">Phase 2 (Qualitative):</w:t>
      </w:r>
      <w:r>
        <w:t xml:space="preserve"> </w:t>
      </w:r>
      <w:r>
        <w:t xml:space="preserve">Focus groups with 80 lecturers and in-depth interviews with 30 university administrators/MoHE officials to explore nuanced challenges. All sessions conducted in Arabic with professional translation for analysis.</w:t>
      </w:r>
    </w:p>
    <w:p>
      <w:pPr>
        <w:numPr>
          <w:ilvl w:val="0"/>
          <w:numId w:val="1002"/>
        </w:numPr>
        <w:pStyle w:val="Compact"/>
      </w:pPr>
      <w:r>
        <w:rPr>
          <w:bCs/>
          <w:b/>
        </w:rPr>
        <w:t xml:space="preserve">Data Triangulation:</w:t>
      </w:r>
      <w:r>
        <w:t xml:space="preserve"> </w:t>
      </w:r>
      <w:r>
        <w:t xml:space="preserve">Survey results cross-verified with institutional data (e.g., student numbers, research output from Cairo University’s annual reports) and MoHE policy documents.</w:t>
      </w:r>
    </w:p>
    <w:p>
      <w:pPr>
        <w:numPr>
          <w:ilvl w:val="0"/>
          <w:numId w:val="1002"/>
        </w:numPr>
        <w:pStyle w:val="Compact"/>
      </w:pPr>
      <w:r>
        <w:rPr>
          <w:bCs/>
          <w:b/>
        </w:rPr>
        <w:t xml:space="preserve">Analysis Framework:</w:t>
      </w:r>
      <w:r>
        <w:t xml:space="preserve"> </w:t>
      </w:r>
      <w:r>
        <w:t xml:space="preserve">Thematic analysis using NVivo for qualitative data; SPSS for quantitative regression modeling to identify correlations between variables (e.g., workload vs. research productivity).</w:t>
      </w:r>
    </w:p>
    <w:bookmarkEnd w:id="24"/>
    <w:bookmarkStart w:id="25" w:name="significance-and-expected-impact"/>
    <w:p>
      <w:pPr>
        <w:pStyle w:val="Heading2"/>
      </w:pPr>
      <w:r>
        <w:t xml:space="preserve">5. Significance and Expected Impact</w:t>
      </w:r>
    </w:p>
    <w:p>
      <w:pPr>
        <w:pStyle w:val="FirstParagraph"/>
      </w:pPr>
      <w:r>
        <w:t xml:space="preserve">This study holds exceptional relevance for Egypt’s development trajectory. By centering on</w:t>
      </w:r>
      <w:r>
        <w:t xml:space="preserve"> </w:t>
      </w:r>
      <w:r>
        <w:rPr>
          <w:bCs/>
          <w:b/>
        </w:rPr>
        <w:t xml:space="preserve">Egypt Cairo</w:t>
      </w:r>
      <w:r>
        <w:t xml:space="preserve">, the research directly targets the nation’s academic nerve center, where 78% of Egypt’s elite researchers are based (MoHE, 2023). Findings will empower policymakers to:</w:t>
      </w:r>
    </w:p>
    <w:p>
      <w:pPr>
        <w:numPr>
          <w:ilvl w:val="0"/>
          <w:numId w:val="1003"/>
        </w:numPr>
        <w:pStyle w:val="Compact"/>
      </w:pPr>
      <w:r>
        <w:t xml:space="preserve">Redesign lecturer contracts to balance teaching/research duties in line with global best practices.</w:t>
      </w:r>
    </w:p>
    <w:p>
      <w:pPr>
        <w:numPr>
          <w:ilvl w:val="0"/>
          <w:numId w:val="1003"/>
        </w:numPr>
        <w:pStyle w:val="Compact"/>
      </w:pPr>
      <w:r>
        <w:t xml:space="preserve">Establish Cairo-specific professional development hubs (e.g., digital pedagogy workshops at Ain Shams University) funded through Egypt’s National Fund for Higher Education.</w:t>
      </w:r>
    </w:p>
    <w:p>
      <w:pPr>
        <w:numPr>
          <w:ilvl w:val="0"/>
          <w:numId w:val="1003"/>
        </w:numPr>
        <w:pStyle w:val="Compact"/>
      </w:pPr>
      <w:r>
        <w:t xml:space="preserve">Create a benchmarking framework for University Lecturer performance metrics aligned with Vision 2030 goals.</w:t>
      </w:r>
    </w:p>
    <w:p>
      <w:pPr>
        <w:pStyle w:val="FirstParagraph"/>
      </w:pPr>
      <w:r>
        <w:t xml:space="preserve">Ultimately, this</w:t>
      </w:r>
      <w:r>
        <w:t xml:space="preserve"> </w:t>
      </w:r>
      <w:r>
        <w:rPr>
          <w:bCs/>
          <w:b/>
        </w:rPr>
        <w:t xml:space="preserve">Research Proposal</w:t>
      </w:r>
      <w:r>
        <w:t xml:space="preserve"> </w:t>
      </w:r>
      <w:r>
        <w:t xml:space="preserve">aims to transform the role of the University Lecturer from a primarily teaching-focused position into a dynamic academic leadership role—crucial for Egypt’s ambition to become a regional hub for innovation. Successful implementation could elevate Cairo universities’ global rankings and attract international collaborations, directly supporting Egypt’s economic diversification efforts.</w:t>
      </w:r>
    </w:p>
    <w:bookmarkEnd w:id="25"/>
    <w:bookmarkStart w:id="26" w:name="ethical-considerations"/>
    <w:p>
      <w:pPr>
        <w:pStyle w:val="Heading2"/>
      </w:pPr>
      <w:r>
        <w:t xml:space="preserve">6. Ethical Considerations</w:t>
      </w:r>
    </w:p>
    <w:p>
      <w:pPr>
        <w:pStyle w:val="FirstParagraph"/>
      </w:pPr>
      <w:r>
        <w:t xml:space="preserve">Compliance with Egyptian Research Ethics Guidelines is paramount. All participants will provide informed consent in Arabic, ensuring anonymity (using pseudonyms like "Lecturer 12-Cairo"). Data storage adheres to MoHE’s data protection protocols, with sensitive information encrypted on secure servers at Cairo University. The research team includes two Egyptian academics (University of Cairo and American University in Cairo) to ensure cultural contextualization.</w:t>
      </w:r>
    </w:p>
    <w:bookmarkEnd w:id="26"/>
    <w:bookmarkStart w:id="27" w:name="timeline-and-budget"/>
    <w:p>
      <w:pPr>
        <w:pStyle w:val="Heading2"/>
      </w:pPr>
      <w:r>
        <w:t xml:space="preserve">7. Timeline and Budget</w:t>
      </w:r>
    </w:p>
    <w:p>
      <w:pPr>
        <w:pStyle w:val="FirstParagraph"/>
      </w:pPr>
      <w:r>
        <w:t xml:space="preserve">The project spans 18 months: Months 1–3 (literature review/ethics approval), Months 4–9 (Phase 1 data collection), Months 10–15 (Phase 2 analysis), and Months 16–18 (policy brief development). A budget of EGP 750,000 covers researcher stipends, translator fees, survey tools, and workshop logistics—all managed through Cairo University’s Research Ethics Board. Funding will be sought from the Egyptian Academy of Scientific Research and Technology (ASRT) with co-support from the MoHE.</w:t>
      </w:r>
    </w:p>
    <w:bookmarkEnd w:id="27"/>
    <w:bookmarkStart w:id="28" w:name="conclusion"/>
    <w:p>
      <w:pPr>
        <w:pStyle w:val="Heading2"/>
      </w:pPr>
      <w:r>
        <w:t xml:space="preserve">8. Conclusion</w:t>
      </w:r>
    </w:p>
    <w:p>
      <w:pPr>
        <w:pStyle w:val="FirstParagraph"/>
      </w:pPr>
      <w:r>
        <w:t xml:space="preserve">The performance of</w:t>
      </w:r>
      <w:r>
        <w:t xml:space="preserve"> </w:t>
      </w:r>
      <w:r>
        <w:rPr>
          <w:bCs/>
          <w:b/>
        </w:rPr>
        <w:t xml:space="preserve">University Lecturer</w:t>
      </w:r>
      <w:r>
        <w:t xml:space="preserve">s in</w:t>
      </w:r>
      <w:r>
        <w:t xml:space="preserve"> </w:t>
      </w:r>
      <w:r>
        <w:rPr>
          <w:bCs/>
          <w:b/>
        </w:rPr>
        <w:t xml:space="preserve">Egypt Cairo</w:t>
      </w:r>
      <w:r>
        <w:t xml:space="preserve"> </w:t>
      </w:r>
      <w:r>
        <w:t xml:space="preserve">is not merely an institutional concern but a national priority for educational quality and economic advancement. This research proposal delivers a rigorous, actionable roadmap to fortify the academic backbone of Egypt’s capital city—a critical step toward fulfilling the nation’s promise of human development. By embedding solutions within Cairo’s distinct academic ecosystem, this study will generate transferable models applicable across Egyptian universities while positioning Cairo as a catalyst for systemic reform in MENA higher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Performance in Egypt Cairo</dc:title>
  <dc:creator/>
  <dc:language>en</dc:language>
  <cp:keywords/>
  <dcterms:created xsi:type="dcterms:W3CDTF">2025-12-09T21:12:02Z</dcterms:created>
  <dcterms:modified xsi:type="dcterms:W3CDTF">2025-12-09T21:12:02Z</dcterms:modified>
</cp:coreProperties>
</file>

<file path=docProps/custom.xml><?xml version="1.0" encoding="utf-8"?>
<Properties xmlns="http://schemas.openxmlformats.org/officeDocument/2006/custom-properties" xmlns:vt="http://schemas.openxmlformats.org/officeDocument/2006/docPropsVTypes"/>
</file>