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Competency</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bookmarkStart w:id="30" w:name="X6c72322a0c4e6f82e55afad5f028c963f320ee2"/>
    <w:p>
      <w:pPr>
        <w:pStyle w:val="Heading1"/>
      </w:pPr>
      <w:r>
        <w:t xml:space="preserve">Research Proposal: Enhancing the Role and Competency of University Lecturers in Indonesia Jakarta</w:t>
      </w:r>
    </w:p>
    <w:bookmarkStart w:id="20" w:name="abstract"/>
    <w:p>
      <w:pPr>
        <w:pStyle w:val="Heading2"/>
      </w:pPr>
      <w:r>
        <w:t xml:space="preserve">Abstract</w:t>
      </w:r>
    </w:p>
    <w:p>
      <w:pPr>
        <w:pStyle w:val="FirstParagraph"/>
      </w:pPr>
      <w:r>
        <w:t xml:space="preserve">This research proposal addresses the critical need to elevate the professional standards, pedagogical skills, and institutional support systems for University Lecturers within Indonesia Jakarta. As the political, economic, and academic epicenter of Indonesia, Jakarta hosts over 60 higher education institutions (HEIs), including renowned universities like Universitas Indonesia (UI), Institut Teknologi Bandung (ITB) branch campuses, and private institutions such as Universitas Gadjah Mada (UGM) Jakarta. Despite its significance, Jakarta's University Lecturers face systemic challenges including outdated teaching methodologies, insufficient professional development opportunities, and alignment gaps with national educational reforms like Kampus Merdeka. This study employs a mixed-methods approach to investigate these issues and propose context-specific interventions to strengthen the lecturers' capacity in Indonesia Jakarta's dynamic academic ecosystem. The research aims to contribute actionable insights for policymakers, university administrators, and lecturer communities to foster sustainable quality education in Indonesia's capital city.</w:t>
      </w:r>
    </w:p>
    <w:bookmarkEnd w:id="20"/>
    <w:bookmarkStart w:id="21" w:name="X3c3e1666a4ae621a19af10abc088bb111538e7a"/>
    <w:p>
      <w:pPr>
        <w:pStyle w:val="Heading2"/>
      </w:pPr>
      <w:r>
        <w:t xml:space="preserve">1. Introduction: The Imperative for Research on University Lecturers in Indonesia Jakarta</w:t>
      </w:r>
    </w:p>
    <w:p>
      <w:pPr>
        <w:pStyle w:val="FirstParagraph"/>
      </w:pPr>
      <w:r>
        <w:t xml:space="preserve">Indonesia Jakarta serves as a microcosm of the nation's higher education challenges and aspirations. With the highest concentration of tertiary institutions in Southeast Asia, Jakarta's University Lecturers are pivotal to producing graduates who meet global workforce demands and support Indonesia's 2045 Vision. However, persistent issues such as high student-lecturer ratios (averaging 1:40 against a national target of 1:30), limited digital literacy among faculty, and a disconnect between curricula and industry needs undermine educational outcomes. The Ministry of Higher Education's recent push for "Quality Assurance in Indonesian Higher Education" underscores the urgency for evidence-based strategies tailored to Jakarta's unique urban academic landscape. This research directly responds to this imperative by focusing on University Lecturers as the linchpin of educational transformation within Indonesia Jakarta.</w:t>
      </w:r>
    </w:p>
    <w:bookmarkEnd w:id="21"/>
    <w:bookmarkStart w:id="22" w:name="problem-statement-and-research-gap"/>
    <w:p>
      <w:pPr>
        <w:pStyle w:val="Heading2"/>
      </w:pPr>
      <w:r>
        <w:t xml:space="preserve">2. Problem Statement and Research Gap</w:t>
      </w:r>
    </w:p>
    <w:p>
      <w:pPr>
        <w:pStyle w:val="FirstParagraph"/>
      </w:pPr>
      <w:r>
        <w:t xml:space="preserve">Existing literature on Indonesian higher education primarily focuses on national policies or isolated institutional studies, rarely centering on Jakarta's specific socio-academic context. For instance, while studies (e.g., Suryanto et al., 2021) highlight lecturer shortages nationwide, none comprehensively analyze how Jakarta’s urban constraints—such as traffic-induced absenteeism, high operational costs for professional development, and multicultural student cohorts—affect lecturers’ performance. Furthermore, current competency frameworks (e.g., Indonesian National Qualifications Framework) lack Jakarta-specific benchmarks for digital pedagogy and community engagement. This research bridges the gap by examining how University Lecturers in Indonesia Jakarta navigate these layered challenges to deliver effective learning experiences.</w:t>
      </w:r>
    </w:p>
    <w:bookmarkEnd w:id="22"/>
    <w:bookmarkStart w:id="23" w:name="research-objectives"/>
    <w:p>
      <w:pPr>
        <w:pStyle w:val="Heading2"/>
      </w:pPr>
      <w:r>
        <w:t xml:space="preserve">3. Research Objectives</w:t>
      </w:r>
    </w:p>
    <w:p>
      <w:pPr>
        <w:pStyle w:val="FirstParagraph"/>
      </w:pPr>
      <w:r>
        <w:t xml:space="preserve">To assess the current competency profile of University Lecturers across key institutions in Jakarta (public, private, and religious-based).</w:t>
      </w:r>
    </w:p>
    <w:p>
      <w:pPr>
        <w:pStyle w:val="BodyText"/>
      </w:pPr>
      <w:r>
        <w:t xml:space="preserve">To identify institutional barriers hindering lecturer effectiveness in Indonesia Jakarta’s urban academic environment.</w:t>
      </w:r>
    </w:p>
    <w:p>
      <w:pPr>
        <w:pStyle w:val="BodyText"/>
      </w:pPr>
      <w:r>
        <w:t xml:space="preserve">To co-design a contextually relevant professional development framework for lecturers aligned with Kampus Merdeka and SDG 4 (Quality Education).</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 Survey (Months 1–5)</w:t>
      </w:r>
      <w:r>
        <w:t xml:space="preserve"> </w:t>
      </w:r>
      <w:r>
        <w:t xml:space="preserve">– A stratified random sample of 600 University Lecturers from Jakarta’s top 20 HEIs. Instruments will measure competencies in digital teaching, curriculum alignment, and student engagement using validated scales adapted to the Indonesia Jakarta context.</w:t>
      </w:r>
    </w:p>
    <w:p>
      <w:pPr>
        <w:numPr>
          <w:ilvl w:val="0"/>
          <w:numId w:val="1002"/>
        </w:numPr>
        <w:pStyle w:val="Compact"/>
      </w:pPr>
      <w:r>
        <w:rPr>
          <w:bCs/>
          <w:b/>
        </w:rPr>
        <w:t xml:space="preserve">Phase 2: Qualitative Inquiry (Months 6–14)</w:t>
      </w:r>
      <w:r>
        <w:t xml:space="preserve"> </w:t>
      </w:r>
      <w:r>
        <w:t xml:space="preserve">– Focus group discussions (FGDs) with 40 lecturers and administrators; semi-structured interviews with 15 key stakeholders (e.g., Jakarta’s Directorate of Higher Education, LPPM representatives). Thematic analysis will uncover systemic pain points.</w:t>
      </w:r>
    </w:p>
    <w:p>
      <w:pPr>
        <w:numPr>
          <w:ilvl w:val="0"/>
          <w:numId w:val="1002"/>
        </w:numPr>
        <w:pStyle w:val="Compact"/>
      </w:pPr>
      <w:r>
        <w:rPr>
          <w:bCs/>
          <w:b/>
        </w:rPr>
        <w:t xml:space="preserve">Phase 3: Co-Creation Workshop (Months 15–18)</w:t>
      </w:r>
      <w:r>
        <w:t xml:space="preserve"> </w:t>
      </w:r>
      <w:r>
        <w:t xml:space="preserve">– Collaborative design sessions with lecturers to develop the competency framework, piloted at two Jakarta universities.</w:t>
      </w:r>
    </w:p>
    <w:bookmarkEnd w:id="24"/>
    <w:bookmarkStart w:id="25" w:name="X89bc61a875bb7cf9793c225789f5d09055486b8"/>
    <w:p>
      <w:pPr>
        <w:pStyle w:val="Heading2"/>
      </w:pPr>
      <w:r>
        <w:t xml:space="preserve">5. Significance and Relevance to Indonesia Jakarta</w:t>
      </w:r>
    </w:p>
    <w:p>
      <w:pPr>
        <w:pStyle w:val="FirstParagraph"/>
      </w:pPr>
      <w:r>
        <w:t xml:space="preserve">This research is urgently relevant for Indonesia Jakarta as it directly supports:</w:t>
      </w:r>
    </w:p>
    <w:p>
      <w:pPr>
        <w:numPr>
          <w:ilvl w:val="0"/>
          <w:numId w:val="1003"/>
        </w:numPr>
        <w:pStyle w:val="Compact"/>
      </w:pPr>
      <w:r>
        <w:rPr>
          <w:bCs/>
          <w:b/>
        </w:rPr>
        <w:t xml:space="preserve">National Policy Alignment</w:t>
      </w:r>
      <w:r>
        <w:t xml:space="preserve">: Addressing gaps in the 2019 Higher Education Act (UU No. 12/2012) and Kampus Merdeka’s mandate for flexible, industry-integrated curricula.</w:t>
      </w:r>
    </w:p>
    <w:p>
      <w:pPr>
        <w:numPr>
          <w:ilvl w:val="0"/>
          <w:numId w:val="1003"/>
        </w:numPr>
        <w:pStyle w:val="Compact"/>
      </w:pPr>
      <w:r>
        <w:rPr>
          <w:bCs/>
          <w:b/>
        </w:rPr>
        <w:t xml:space="preserve">Urban Educational Equity</w:t>
      </w:r>
      <w:r>
        <w:t xml:space="preserve">: Jakarta’s diverse student population (including migrants from rural Indonesia) demands lecturers with cultural competency—a need unmet in current training.</w:t>
      </w:r>
    </w:p>
    <w:p>
      <w:pPr>
        <w:numPr>
          <w:ilvl w:val="0"/>
          <w:numId w:val="1003"/>
        </w:numPr>
        <w:pStyle w:val="Compact"/>
      </w:pPr>
      <w:r>
        <w:rPr>
          <w:bCs/>
          <w:b/>
        </w:rPr>
        <w:t xml:space="preserve">Economic Impact</w:t>
      </w:r>
      <w:r>
        <w:t xml:space="preserve">: Skilled University Lecturers produce work-ready graduates, directly contributing to Jakarta’s role as Indonesia’s economic engine (25% of national GDP).</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comprehensive report detailing Jakarta-specific lecturer competency standards.</w:t>
      </w:r>
    </w:p>
    <w:p>
      <w:pPr>
        <w:numPr>
          <w:ilvl w:val="0"/>
          <w:numId w:val="1004"/>
        </w:numPr>
        <w:pStyle w:val="Compact"/>
      </w:pPr>
      <w:r>
        <w:t xml:space="preserve">An open-access digital toolkit for lecturers (e.g., modules on blended learning for flood-affected campuses).</w:t>
      </w:r>
    </w:p>
    <w:p>
      <w:pPr>
        <w:numPr>
          <w:ilvl w:val="0"/>
          <w:numId w:val="1004"/>
        </w:numPr>
        <w:pStyle w:val="Compact"/>
      </w:pPr>
      <w:r>
        <w:t xml:space="preserve">Presentation to the Directorate of Higher Education, Jakarta (Kemdikbudristek) and the ASEAN University Network, emphasizing Jakarta’s model for other megacities.</w:t>
      </w:r>
    </w:p>
    <w:bookmarkEnd w:id="26"/>
    <w:bookmarkStart w:id="27" w:name="budget-overview"/>
    <w:p>
      <w:pPr>
        <w:pStyle w:val="Heading2"/>
      </w:pPr>
      <w:r>
        <w:t xml:space="preserve">7. Budget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Cost (IDR)</w:t>
            </w:r>
          </w:p>
        </w:tc>
      </w:tr>
      <w:tr>
        <w:tc>
          <w:tcPr/>
          <w:p>
            <w:pPr>
              <w:pStyle w:val="Compact"/>
              <w:jc w:val="left"/>
            </w:pPr>
            <w:r>
              <w:t xml:space="preserve">Lecturer Survey Administration &amp; Data Collection</w:t>
            </w:r>
          </w:p>
        </w:tc>
        <w:tc>
          <w:tcPr/>
          <w:p>
            <w:pPr>
              <w:pStyle w:val="Compact"/>
              <w:jc w:val="left"/>
            </w:pPr>
            <w:r>
              <w:t xml:space="preserve">45,000,000</w:t>
            </w:r>
          </w:p>
        </w:tc>
      </w:tr>
      <w:tr>
        <w:tc>
          <w:tcPr/>
          <w:p>
            <w:pPr>
              <w:pStyle w:val="Compact"/>
              <w:jc w:val="left"/>
            </w:pPr>
            <w:r>
              <w:t xml:space="preserve">Focal Group Discussions (FGDs) &amp; Transcription</w:t>
            </w:r>
          </w:p>
        </w:tc>
        <w:tc>
          <w:tcPr/>
          <w:p>
            <w:pPr>
              <w:pStyle w:val="Compact"/>
              <w:jc w:val="left"/>
            </w:pPr>
            <w:r>
              <w:t xml:space="preserve">32,500,000</w:t>
            </w:r>
          </w:p>
        </w:tc>
      </w:tr>
      <w:tr>
        <w:tc>
          <w:tcPr/>
          <w:p>
            <w:pPr>
              <w:pStyle w:val="Compact"/>
              <w:jc w:val="left"/>
            </w:pPr>
            <w:r>
              <w:t xml:space="preserve">Co-Creation Workshop Logistics (Jakarta venues)</w:t>
            </w:r>
          </w:p>
        </w:tc>
        <w:tc>
          <w:tcPr/>
          <w:p>
            <w:pPr>
              <w:pStyle w:val="Compact"/>
              <w:jc w:val="left"/>
            </w:pPr>
            <w:r>
              <w:t xml:space="preserve">28,750,000</w:t>
            </w:r>
          </w:p>
        </w:tc>
      </w:tr>
      <w:tr>
        <w:tc>
          <w:tcPr/>
          <w:p>
            <w:pPr>
              <w:pStyle w:val="Compact"/>
              <w:jc w:val="left"/>
            </w:pPr>
            <w:r>
              <w:t xml:space="preserve">Dissemination &amp; Digital Toolkit Development</w:t>
            </w:r>
          </w:p>
        </w:tc>
        <w:tc>
          <w:tcPr/>
          <w:p>
            <w:pPr>
              <w:pStyle w:val="Compact"/>
              <w:jc w:val="left"/>
            </w:pPr>
            <w:r>
              <w:t xml:space="preserve">33,750,000</w:t>
            </w:r>
          </w:p>
        </w:tc>
      </w:tr>
      <w:tr>
        <w:tc>
          <w:tcPr/>
          <w:p>
            <w:pPr>
              <w:pStyle w:val="Compact"/>
              <w:jc w:val="left"/>
            </w:pPr>
            <w:r>
              <w:t xml:space="preserve">Total</w:t>
            </w:r>
          </w:p>
        </w:tc>
        <w:tc>
          <w:tcPr/>
          <w:p>
            <w:pPr>
              <w:pStyle w:val="Compact"/>
              <w:jc w:val="left"/>
            </w:pPr>
            <w:r>
              <w:t xml:space="preserve">140,000,001</w:t>
            </w:r>
          </w:p>
        </w:tc>
      </w:tr>
    </w:tbl>
    <w:bookmarkEnd w:id="27"/>
    <w:bookmarkStart w:id="28" w:name="X8ebaf8784f46f95cd232f3e1a8845ff7650d887"/>
    <w:p>
      <w:pPr>
        <w:pStyle w:val="Heading2"/>
      </w:pPr>
      <w:r>
        <w:t xml:space="preserve">8. Conclusion: A Catalyst for Jakarta’s Academic Excellence</w:t>
      </w:r>
    </w:p>
    <w:p>
      <w:pPr>
        <w:pStyle w:val="FirstParagraph"/>
      </w:pPr>
      <w:r>
        <w:t xml:space="preserve">The success of Indonesia Jakarta as a global education hub hinges on empowering its University Lecturers. This research proposal transcends theoretical inquiry to deliver pragmatic solutions rooted in the city's realities—from traffic-induced lecture disruptions to pandemic-driven digital transitions. By centering the experiences of lecturers within Jakarta’s unique institutional tapestry, this study will catalyze a paradigm shift toward sustainable, quality-driven higher education that meets Indonesia’s developmental needs. The findings will not only transform lecturer practices in Jakarta but also provide a replicable blueprint for urban universities across Southeast Asia.</w:t>
      </w:r>
    </w:p>
    <w:bookmarkEnd w:id="28"/>
    <w:bookmarkStart w:id="29" w:name="references-key-examples"/>
    <w:p>
      <w:pPr>
        <w:pStyle w:val="Heading2"/>
      </w:pPr>
      <w:r>
        <w:t xml:space="preserve">9. References (Key Examples)</w:t>
      </w:r>
    </w:p>
    <w:p>
      <w:pPr>
        <w:numPr>
          <w:ilvl w:val="0"/>
          <w:numId w:val="1005"/>
        </w:numPr>
        <w:pStyle w:val="Compact"/>
      </w:pPr>
      <w:r>
        <w:t xml:space="preserve">Ministry of Education, Culture, Research, and Technology (Kemdikbudristek). (2023). *National Higher Education Development Plan 2019–2045*. Jakarta: Government Printing Office.</w:t>
      </w:r>
    </w:p>
    <w:p>
      <w:pPr>
        <w:numPr>
          <w:ilvl w:val="0"/>
          <w:numId w:val="1005"/>
        </w:numPr>
        <w:pStyle w:val="Compact"/>
      </w:pPr>
      <w:r>
        <w:t xml:space="preserve">Suryanto, A., et al. (2021). "Lecturer Competency Gaps in Indonesian Universities." *Journal of Asian Higher Education*, 8(3), 45–67.</w:t>
      </w:r>
    </w:p>
    <w:p>
      <w:pPr>
        <w:numPr>
          <w:ilvl w:val="0"/>
          <w:numId w:val="1005"/>
        </w:numPr>
        <w:pStyle w:val="Compact"/>
      </w:pPr>
      <w:r>
        <w:t xml:space="preserve">World Bank. (2022). *Indonesia Higher Education: Pathways to Quality*. Jakarta: World Bank Indonesia.</w:t>
      </w:r>
    </w:p>
    <w:p>
      <w:pPr>
        <w:pStyle w:val="FirstParagraph"/>
      </w:pPr>
      <w:r>
        <w:rPr>
          <w:bCs/>
          <w:b/>
        </w:rPr>
        <w:t xml:space="preserve">Total Word Count: 846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Competency of University Lecturers in Indonesia Jakarta</dc:title>
  <dc:creator/>
  <cp:keywords/>
  <dcterms:created xsi:type="dcterms:W3CDTF">2026-06-02T23:59:30Z</dcterms:created>
  <dcterms:modified xsi:type="dcterms:W3CDTF">2026-06-02T23:59:30Z</dcterms:modified>
</cp:coreProperties>
</file>

<file path=docProps/custom.xml><?xml version="1.0" encoding="utf-8"?>
<Properties xmlns="http://schemas.openxmlformats.org/officeDocument/2006/custom-properties" xmlns:vt="http://schemas.openxmlformats.org/officeDocument/2006/docPropsVTypes"/>
</file>