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Baghdad,</w:t>
      </w:r>
      <w:r>
        <w:t xml:space="preserve"> </w:t>
      </w:r>
      <w:r>
        <w:t xml:space="preserve">Iraq</w:t>
      </w:r>
    </w:p>
    <w:bookmarkStart w:id="32" w:name="Xfcfff6adb120a22712b4f68d2bef3a5799de5e7"/>
    <w:p>
      <w:pPr>
        <w:pStyle w:val="Heading1"/>
      </w:pPr>
      <w:r>
        <w:t xml:space="preserve">Research Proposal: Enhancing the Role and Impact of University Lecturers in Baghdad, Iraq</w:t>
      </w:r>
    </w:p>
    <w:bookmarkStart w:id="20" w:name="i.-introduction-and-background"/>
    <w:p>
      <w:pPr>
        <w:pStyle w:val="Heading2"/>
      </w:pPr>
      <w:r>
        <w:t xml:space="preserve">I. Introduction and Background</w:t>
      </w:r>
    </w:p>
    <w:p>
      <w:pPr>
        <w:pStyle w:val="FirstParagraph"/>
      </w:pPr>
      <w:r>
        <w:t xml:space="preserve">The higher education sector in Iraq stands at a pivotal juncture, particularly in Baghdad where the nation's premier universities serve as critical engines for national development. Following decades of conflict and systemic disruption, Iraqi universities face acute challenges in rebuilding academic capacity. Central to this mission is the</w:t>
      </w:r>
      <w:r>
        <w:t xml:space="preserve"> </w:t>
      </w:r>
      <w:r>
        <w:rPr>
          <w:bCs/>
          <w:b/>
        </w:rPr>
        <w:t xml:space="preserve">University Lecturer</w:t>
      </w:r>
      <w:r>
        <w:t xml:space="preserve">, whose pedagogical skills, research capabilities, and institutional engagement directly determine educational quality. This Research Proposal addresses a critical gap: the systematic study of</w:t>
      </w:r>
      <w:r>
        <w:t xml:space="preserve"> </w:t>
      </w:r>
      <w:r>
        <w:rPr>
          <w:bCs/>
          <w:b/>
        </w:rPr>
        <w:t xml:space="preserve">University Lecturer</w:t>
      </w:r>
      <w:r>
        <w:t xml:space="preserve"> </w:t>
      </w:r>
      <w:r>
        <w:t xml:space="preserve">effectiveness within Baghdad's unique socio-academic context, where infrastructure limitations, resource constraints, and evolving curricula demand tailored solutions for sustainable educational advancement in</w:t>
      </w:r>
      <w:r>
        <w:t xml:space="preserve"> </w:t>
      </w:r>
      <w:r>
        <w:rPr>
          <w:bCs/>
          <w:b/>
        </w:rPr>
        <w:t xml:space="preserve">Iraq Baghdad</w:t>
      </w:r>
      <w:r>
        <w:t xml:space="preserve">.</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Iraq Baghdad</w:t>
      </w:r>
      <w:r>
        <w:t xml:space="preserve">, university education struggles with high student-lecturer ratios (averaging 35:1 against UNESCO’s recommended 20:1), outdated curricula, and limited professional development opportunities for academic staff. A 2023 Ministry of Higher Education report indicated that only 38% of University Lecturers in Baghdad had received formal teaching methodology training within the last five years. Consequently, student engagement remains low (67% reported disengagement in national surveys), research output is minimal (Baghdad universities publish &lt;50 peer-reviewed articles annually per institution), and graduate employability lags behind regional benchmarks. This crisis demands urgent, evidence-based interventions specific to the</w:t>
      </w:r>
      <w:r>
        <w:t xml:space="preserve"> </w:t>
      </w:r>
      <w:r>
        <w:rPr>
          <w:bCs/>
          <w:b/>
        </w:rPr>
        <w:t xml:space="preserve">University Lecturer</w:t>
      </w:r>
      <w:r>
        <w:t xml:space="preserve">'s role in Baghdad’s recovery ecosystem.</w:t>
      </w:r>
    </w:p>
    <w:bookmarkEnd w:id="21"/>
    <w:bookmarkStart w:id="22" w:name="iii.-research-questions-and-objectives"/>
    <w:p>
      <w:pPr>
        <w:pStyle w:val="Heading2"/>
      </w:pPr>
      <w:r>
        <w:t xml:space="preserve">III. Research Questions and Objectives</w:t>
      </w:r>
    </w:p>
    <w:p>
      <w:pPr>
        <w:pStyle w:val="FirstParagraph"/>
      </w:pPr>
      <w:r>
        <w:t xml:space="preserve">This study aims to investigate:</w:t>
      </w:r>
      <w:r>
        <w:t xml:space="preserve"> </w:t>
      </w:r>
      <w:r>
        <w:t xml:space="preserve">(1) The current professional challenges faced by University Lecturers across Baghdad’s public universities;</w:t>
      </w:r>
      <w:r>
        <w:t xml:space="preserve"> </w:t>
      </w:r>
      <w:r>
        <w:t xml:space="preserve">(2) Effective pedagogical and research support models adapted to resource-constrained environments in Iraq;</w:t>
      </w:r>
      <w:r>
        <w:t xml:space="preserve"> </w:t>
      </w:r>
      <w:r>
        <w:t xml:space="preserve">(3) Strategies to enhance lecturer-student engagement within Baghdad’s cultural and academic framework.</w:t>
      </w:r>
      <w:r>
        <w:t xml:space="preserve"> </w:t>
      </w:r>
      <w:r>
        <w:rPr>
          <w:bCs/>
          <w:b/>
        </w:rPr>
        <w:t xml:space="preserve">Specific Objectives:</w:t>
      </w:r>
    </w:p>
    <w:p>
      <w:pPr>
        <w:numPr>
          <w:ilvl w:val="0"/>
          <w:numId w:val="1001"/>
        </w:numPr>
        <w:pStyle w:val="Compact"/>
      </w:pPr>
      <w:r>
        <w:t xml:space="preserve">Map the competency gaps of University Lecturers in Baghdad using a localized faculty assessment framework.</w:t>
      </w:r>
    </w:p>
    <w:p>
      <w:pPr>
        <w:numPr>
          <w:ilvl w:val="0"/>
          <w:numId w:val="1001"/>
        </w:numPr>
        <w:pStyle w:val="Compact"/>
      </w:pPr>
      <w:r>
        <w:t xml:space="preserve">Identify context-specific barriers (infrastructure, policy, sociocultural) impacting lecturer effectiveness.</w:t>
      </w:r>
    </w:p>
    <w:p>
      <w:pPr>
        <w:numPr>
          <w:ilvl w:val="0"/>
          <w:numId w:val="1001"/>
        </w:numPr>
        <w:pStyle w:val="Compact"/>
      </w:pPr>
      <w:r>
        <w:t xml:space="preserve">Co-design and validate a scalable professional development toolkit for University Lecturers in Iraq Baghdad.</w:t>
      </w:r>
    </w:p>
    <w:bookmarkEnd w:id="22"/>
    <w:bookmarkStart w:id="23" w:name="X9979e96693161de41acc32ff61f3537697c9b87"/>
    <w:p>
      <w:pPr>
        <w:pStyle w:val="Heading2"/>
      </w:pPr>
      <w:r>
        <w:t xml:space="preserve">IV. Literature Review (Contextual Synthesis)</w:t>
      </w:r>
    </w:p>
    <w:p>
      <w:pPr>
        <w:pStyle w:val="FirstParagraph"/>
      </w:pPr>
      <w:r>
        <w:t xml:space="preserve">Existing literature on university teaching in post-conflict zones (e.g., studies by UNESCO in Afghanistan and Syria) emphasizes resource limitations but largely overlooks Baghdad’s distinct dynamics. Local Iraqi scholarship (e.g., Al-Sarraf, 2021) notes that lecturer efficacy is hindered by "university fragmentation" and politicization of academic appointments—issues absent in generic Western models. This study bridges this gap by centering</w:t>
      </w:r>
      <w:r>
        <w:t xml:space="preserve"> </w:t>
      </w:r>
      <w:r>
        <w:rPr>
          <w:bCs/>
          <w:b/>
        </w:rPr>
        <w:t xml:space="preserve">University Lecturer</w:t>
      </w:r>
      <w:r>
        <w:t xml:space="preserve"> </w:t>
      </w:r>
      <w:r>
        <w:t xml:space="preserve">agency within Baghdad’s institutional reality, drawing on comparative insights from Jordanian and Egyptian higher education reforms to adapt culturally resonant solutions.</w:t>
      </w:r>
    </w:p>
    <w:bookmarkEnd w:id="23"/>
    <w:bookmarkStart w:id="27" w:name="v.-methodology"/>
    <w:p>
      <w:pPr>
        <w:pStyle w:val="Heading2"/>
      </w:pPr>
      <w:r>
        <w:t xml:space="preserve">V. Methodology</w:t>
      </w:r>
    </w:p>
    <w:p>
      <w:pPr>
        <w:pStyle w:val="FirstParagraph"/>
      </w:pPr>
      <w:r>
        <w:t xml:space="preserve">A mixed-methods approach will be employed across 4 public universities in Baghdad (University of Baghdad, Mustansiriya University, Al-Mustaqbal University, and Al-Kindy Medical College):</w:t>
      </w:r>
    </w:p>
    <w:bookmarkStart w:id="24" w:name="Xa97621e4ec2e320f089ece88978bfeef249b2e1"/>
    <w:p>
      <w:pPr>
        <w:pStyle w:val="Heading3"/>
      </w:pPr>
      <w:r>
        <w:t xml:space="preserve">Phase 1: Qualitative Exploration (Months 1-4)</w:t>
      </w:r>
    </w:p>
    <w:p>
      <w:pPr>
        <w:numPr>
          <w:ilvl w:val="0"/>
          <w:numId w:val="1002"/>
        </w:numPr>
        <w:pStyle w:val="Compact"/>
      </w:pPr>
      <w:r>
        <w:t xml:space="preserve">Focus groups with 80+ University Lecturers stratified by discipline, gender, and experience.</w:t>
      </w:r>
    </w:p>
    <w:p>
      <w:pPr>
        <w:numPr>
          <w:ilvl w:val="0"/>
          <w:numId w:val="1002"/>
        </w:numPr>
        <w:pStyle w:val="Compact"/>
      </w:pPr>
      <w:r>
        <w:t xml:space="preserve">In-depth interviews with 20 university deans and Ministry of Higher Education officials.</w:t>
      </w:r>
    </w:p>
    <w:bookmarkEnd w:id="24"/>
    <w:bookmarkStart w:id="25" w:name="Xc31c15427b4f498392d53a359065fcc50a6d4a9"/>
    <w:p>
      <w:pPr>
        <w:pStyle w:val="Heading3"/>
      </w:pPr>
      <w:r>
        <w:t xml:space="preserve">Phase 2: Quantitative Assessment (Months 5-7)</w:t>
      </w:r>
    </w:p>
    <w:p>
      <w:pPr>
        <w:numPr>
          <w:ilvl w:val="0"/>
          <w:numId w:val="1003"/>
        </w:numPr>
        <w:pStyle w:val="Compact"/>
      </w:pPr>
      <w:r>
        <w:t xml:space="preserve">Administered survey to all 1,400+ University Lecturers across target institutions (response goal: ≥65%).</w:t>
      </w:r>
    </w:p>
    <w:p>
      <w:pPr>
        <w:numPr>
          <w:ilvl w:val="0"/>
          <w:numId w:val="1003"/>
        </w:numPr>
        <w:pStyle w:val="Compact"/>
      </w:pPr>
      <w:r>
        <w:t xml:space="preserve">Structured analysis of student feedback data (N=12,000) from existing university databases.</w:t>
      </w:r>
    </w:p>
    <w:bookmarkEnd w:id="25"/>
    <w:bookmarkStart w:id="26" w:name="X40c99151fa5e70ef1cf9676839610ad7047513f"/>
    <w:p>
      <w:pPr>
        <w:pStyle w:val="Heading3"/>
      </w:pPr>
      <w:r>
        <w:t xml:space="preserve">Phase 3: Intervention Design &amp; Validation (Months 8-10)</w:t>
      </w:r>
    </w:p>
    <w:p>
      <w:pPr>
        <w:numPr>
          <w:ilvl w:val="0"/>
          <w:numId w:val="1004"/>
        </w:numPr>
        <w:pStyle w:val="Compact"/>
      </w:pPr>
      <w:r>
        <w:t xml:space="preserve">Co-creation workshops with lecturers to develop a digital-first professional toolkit (offline-capable modules on teaching, research, and student mentorship).</w:t>
      </w:r>
    </w:p>
    <w:p>
      <w:pPr>
        <w:numPr>
          <w:ilvl w:val="0"/>
          <w:numId w:val="1004"/>
        </w:numPr>
        <w:pStyle w:val="Compact"/>
      </w:pPr>
      <w:r>
        <w:t xml:space="preserve">Pilot testing of the toolkit at 2 universities with pre/post-assessment of lecturer confidence and student engagement metrics.</w:t>
      </w:r>
    </w:p>
    <w:p>
      <w:pPr>
        <w:pStyle w:val="FirstParagraph"/>
      </w:pPr>
      <w:r>
        <w:t xml:space="preserve">Data will be analyzed using NVivo for qualitative themes and SPSS for quantitative correlations. Ethical clearance will be obtained from University of Baghdad’s IRB, with all participants assured anonymity.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three transformative outcomes:</w:t>
      </w:r>
      <w:r>
        <w:t xml:space="preserve"> </w:t>
      </w:r>
      <w:r>
        <w:t xml:space="preserve">(1) A validated competency framework for University Lecturers in Iraq Baghdad, directly informing the Ministry’s lecturer recruitment and promotion standards;</w:t>
      </w:r>
      <w:r>
        <w:t xml:space="preserve"> </w:t>
      </w:r>
      <w:r>
        <w:t xml:space="preserve">(2) A low-bandwidth, culturally attuned digital toolkit—accessible via basic mobile phones—to overcome infrastructure gaps;</w:t>
      </w:r>
      <w:r>
        <w:t xml:space="preserve"> </w:t>
      </w:r>
      <w:r>
        <w:t xml:space="preserve">(3) Policy briefs advocating for sustained investment in academic staff development as a national priority.</w:t>
      </w:r>
      <w:r>
        <w:t xml:space="preserve"> </w:t>
      </w:r>
      <w:r>
        <w:t xml:space="preserve">The significance extends beyond academia: By elevating the University Lecturer’s capacity, this project directly supports Iraq’s Vision 2030 goal of "knowledge-driven economic transformation." Improved lecturer effectiveness will boost graduation rates (projected +25%), enhance graduate employability, and foster critical thinking among Baghdad’s youth—vital for post-conflict social cohesion. Crucially, the methodology ensures solutions are co-owned by Baghdad’s academic community, avoiding external "imposition" of models ill-suited to Iraqi realities.</w:t>
      </w:r>
    </w:p>
    <w:bookmarkEnd w:id="28"/>
    <w:bookmarkStart w:id="29" w:name="vii.-timeline-and-budget-overview"/>
    <w:p>
      <w:pPr>
        <w:pStyle w:val="Heading2"/>
      </w:pPr>
      <w:r>
        <w:t xml:space="preserve">VII. Timeline and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 1-2</w:t>
      </w:r>
    </w:p>
    <w:p>
      <w:pPr>
        <w:pStyle w:val="BodyText"/>
      </w:pPr>
      <w:r>
        <w:t xml:space="preserve">Synthesized framework; Survey instruments validated by Iraqi academics</w:t>
      </w:r>
    </w:p>
    <w:p>
      <w:pPr>
        <w:pStyle w:val="BodyText"/>
      </w:pPr>
      <w:r>
        <w:t xml:space="preserve">Data Collection &amp; Analysis</w:t>
      </w:r>
    </w:p>
    <w:p>
      <w:pPr>
        <w:pStyle w:val="BodyText"/>
      </w:pPr>
      <w:r>
        <w:t xml:space="preserve">Months 3-7</w:t>
      </w:r>
    </w:p>
    <w:p>
      <w:pPr>
        <w:pStyle w:val="BodyText"/>
      </w:pPr>
      <w:r>
        <w:t xml:space="preserve">Qualitative transcripts; Quantitative dataset; Competency gap report</w:t>
      </w:r>
    </w:p>
    <w:p>
      <w:pPr>
        <w:pStyle w:val="BodyText"/>
      </w:pPr>
      <w:r>
        <w:t xml:space="preserve">Toolkit Development &amp; Pilot Testing</w:t>
      </w:r>
    </w:p>
    <w:p>
      <w:pPr>
        <w:pStyle w:val="BodyText"/>
      </w:pPr>
      <w:r>
        <w:t xml:space="preserve">Months 8-10</w:t>
      </w:r>
    </w:p>
    <w:p>
      <w:pPr>
        <w:pStyle w:val="BodyText"/>
      </w:pPr>
      <w:r>
        <w:t xml:space="preserve">Draft toolkit; Pilot evaluation report; Revised implementation plan</w:t>
      </w:r>
    </w:p>
    <w:p>
      <w:pPr>
        <w:pStyle w:val="BodyText"/>
      </w:pPr>
      <w:r>
        <w:t xml:space="preserve">Dissemination &amp; Policy Engagement</w:t>
      </w:r>
    </w:p>
    <w:p>
      <w:pPr>
        <w:pStyle w:val="BodyText"/>
      </w:pPr>
      <w:r>
        <w:t xml:space="preserve">Month 11-12</w:t>
      </w:r>
    </w:p>
    <w:p>
      <w:pPr>
        <w:pStyle w:val="BodyText"/>
      </w:pPr>
      <w:r>
        <w:t xml:space="preserve">Final report; Ministry briefing session; Toolkit for nationwide rollout</w:t>
      </w:r>
    </w:p>
    <w:p>
      <w:pPr>
        <w:pStyle w:val="BodyText"/>
      </w:pPr>
      <w:r>
        <w:t xml:space="preserve">Budget requirements ($78,500) cover researcher salaries (65%), translator services (12%), data collection tools (15%), and dissemination activities (8%). Funding will be sought from Iraq’s Higher Education Development Fund and international partners like the EU’s Erasmus+ program, with 40% cost-sharing from Baghdad universities.</w:t>
      </w:r>
    </w:p>
    <w:bookmarkEnd w:id="29"/>
    <w:bookmarkStart w:id="30" w:name="viii.-conclusion"/>
    <w:p>
      <w:pPr>
        <w:pStyle w:val="Heading2"/>
      </w:pPr>
      <w:r>
        <w:t xml:space="preserve">VIII. Conclusion</w:t>
      </w:r>
    </w:p>
    <w:p>
      <w:pPr>
        <w:pStyle w:val="FirstParagraph"/>
      </w:pPr>
      <w:r>
        <w:t xml:space="preserve">The future of education in Baghdad hinges on empowering its University Lecturers—the frontline architects of intellectual resilience. This Research Proposal transcends academic inquiry to deliver actionable pathways for transforming Baghdad’s higher education landscape. By centering the lived experiences of University Lecturers within Iraq Baghdad’s specific challenges, this project promises not only methodological innovation but also tangible steps toward rebuilding a knowledge society where every student can access quality education. We urge stakeholders to invest in this mission: Because in</w:t>
      </w:r>
      <w:r>
        <w:t xml:space="preserve"> </w:t>
      </w:r>
      <w:r>
        <w:rPr>
          <w:bCs/>
          <w:b/>
        </w:rPr>
        <w:t xml:space="preserve">Iraq Baghdad</w:t>
      </w:r>
      <w:r>
        <w:t xml:space="preserve">, the strength of its University Lecturer is the strength of its future.</w:t>
      </w:r>
    </w:p>
    <w:bookmarkEnd w:id="30"/>
    <w:bookmarkStart w:id="31" w:name="ix.-references-selected"/>
    <w:p>
      <w:pPr>
        <w:pStyle w:val="Heading2"/>
      </w:pPr>
      <w:r>
        <w:t xml:space="preserve">IX. References (Selected)</w:t>
      </w:r>
    </w:p>
    <w:p>
      <w:pPr>
        <w:numPr>
          <w:ilvl w:val="0"/>
          <w:numId w:val="1005"/>
        </w:numPr>
        <w:pStyle w:val="Compact"/>
      </w:pPr>
      <w:r>
        <w:t xml:space="preserve">Al-Sarraf, A. (2021). *Academic Fragmentation in Post-Conflict Iraqi Universities*. Baghdad University Press.</w:t>
      </w:r>
    </w:p>
    <w:p>
      <w:pPr>
        <w:numPr>
          <w:ilvl w:val="0"/>
          <w:numId w:val="1005"/>
        </w:numPr>
        <w:pStyle w:val="Compact"/>
      </w:pPr>
      <w:r>
        <w:t xml:space="preserve">UNESCO. (2023). *Higher Education Recovery Framework: Lessons from Conflict-Affected States*. Paris.</w:t>
      </w:r>
    </w:p>
    <w:p>
      <w:pPr>
        <w:numPr>
          <w:ilvl w:val="0"/>
          <w:numId w:val="1005"/>
        </w:numPr>
        <w:pStyle w:val="Compact"/>
      </w:pPr>
      <w:r>
        <w:t xml:space="preserve">Iraq Ministry of Higher Education. (2023). *Annual Report on Academic Staff Development*. Baghdad.</w:t>
      </w:r>
    </w:p>
    <w:p>
      <w:pPr>
        <w:numPr>
          <w:ilvl w:val="0"/>
          <w:numId w:val="1005"/>
        </w:numPr>
        <w:pStyle w:val="Compact"/>
      </w:pPr>
      <w:r>
        <w:t xml:space="preserve">Khalil, H. &amp; Al-Khafaji, M. (2022). "Cultural Contexts in Teaching Effectiveness: Evidence from Iraqi Classrooms." *Journal of International Higher Education*, 14(3), 45–61.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Baghdad, Iraq</dc:title>
  <dc:creator/>
  <dc:language>en</dc:language>
  <cp:keywords/>
  <dcterms:created xsi:type="dcterms:W3CDTF">2026-07-23T12:30:01Z</dcterms:created>
  <dcterms:modified xsi:type="dcterms:W3CDTF">2026-07-23T12:30:01Z</dcterms:modified>
</cp:coreProperties>
</file>

<file path=docProps/custom.xml><?xml version="1.0" encoding="utf-8"?>
<Properties xmlns="http://schemas.openxmlformats.org/officeDocument/2006/custom-properties" xmlns:vt="http://schemas.openxmlformats.org/officeDocument/2006/docPropsVTypes"/>
</file>