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Performance</w:t>
      </w:r>
      <w:r>
        <w:t xml:space="preserve"> </w:t>
      </w:r>
      <w:r>
        <w:t xml:space="preserve">in</w:t>
      </w:r>
      <w:r>
        <w:t xml:space="preserve"> </w:t>
      </w:r>
      <w:r>
        <w:t xml:space="preserve">Kuwait</w:t>
      </w:r>
      <w:r>
        <w:t xml:space="preserve"> </w:t>
      </w:r>
      <w:r>
        <w:t xml:space="preserve">City</w:t>
      </w:r>
    </w:p>
    <w:bookmarkStart w:id="32" w:name="X26bc085ee298263c5a6ef56846f8a0943c28e04"/>
    <w:p>
      <w:pPr>
        <w:pStyle w:val="Heading1"/>
      </w:pPr>
      <w:r>
        <w:t xml:space="preserve">Research Proposal: Optimizing Teaching Effectiveness and Professional Development for University Lecturers in Kuwait City</w:t>
      </w:r>
    </w:p>
    <w:bookmarkStart w:id="20" w:name="introduction-and-background"/>
    <w:p>
      <w:pPr>
        <w:pStyle w:val="Heading2"/>
      </w:pPr>
      <w:r>
        <w:t xml:space="preserve">1. Introduction and Background</w:t>
      </w:r>
    </w:p>
    <w:p>
      <w:pPr>
        <w:pStyle w:val="FirstParagraph"/>
      </w:pPr>
      <w:r>
        <w:t xml:space="preserve">The Kingdom of Kuwait stands at a pivotal juncture in its national development strategy, with Vision 2035 placing higher education as a cornerstone for economic diversification and human capital advancement. Within this context, the role of the</w:t>
      </w:r>
      <w:r>
        <w:t xml:space="preserve"> </w:t>
      </w:r>
      <w:r>
        <w:rPr>
          <w:bCs/>
          <w:b/>
        </w:rPr>
        <w:t xml:space="preserve">University Lecturer</w:t>
      </w:r>
      <w:r>
        <w:t xml:space="preserve"> </w:t>
      </w:r>
      <w:r>
        <w:t xml:space="preserve">in</w:t>
      </w:r>
      <w:r>
        <w:t xml:space="preserve"> </w:t>
      </w:r>
      <w:r>
        <w:rPr>
          <w:bCs/>
          <w:b/>
        </w:rPr>
        <w:t xml:space="preserve">Kuwait City</w:t>
      </w:r>
      <w:r>
        <w:t xml:space="preserve"> </w:t>
      </w:r>
      <w:r>
        <w:t xml:space="preserve">has evolved from traditional knowledge transmission to becoming a catalyst for critical thinking, innovation, and societal transformation. However, emerging challenges—including rapidly changing pedagogical expectations, multicultural student demographics in Kuwaiti universities (particularly at institutions like Kuwait University and Gulf University), and alignment with international accreditation standards—demand urgent scholarly investigation. This</w:t>
      </w:r>
      <w:r>
        <w:t xml:space="preserve"> </w:t>
      </w:r>
      <w:r>
        <w:rPr>
          <w:bCs/>
          <w:b/>
        </w:rPr>
        <w:t xml:space="preserve">Research Proposal</w:t>
      </w:r>
      <w:r>
        <w:t xml:space="preserve"> </w:t>
      </w:r>
      <w:r>
        <w:t xml:space="preserve">addresses the critical need to systematically evaluate the professional landscape of</w:t>
      </w:r>
      <w:r>
        <w:t xml:space="preserve"> </w:t>
      </w:r>
      <w:r>
        <w:rPr>
          <w:bCs/>
          <w:b/>
        </w:rPr>
        <w:t xml:space="preserve">University Lecturers</w:t>
      </w:r>
      <w:r>
        <w:t xml:space="preserve"> </w:t>
      </w:r>
      <w:r>
        <w:t xml:space="preserve">across educational institutions in</w:t>
      </w:r>
      <w:r>
        <w:t xml:space="preserve"> </w:t>
      </w:r>
      <w:r>
        <w:rPr>
          <w:bCs/>
          <w:b/>
        </w:rPr>
        <w:t xml:space="preserve">Kuwait City</w:t>
      </w:r>
      <w:r>
        <w:t xml:space="preserve">, aiming to develop evidence-based strategies for enhancing teaching quality and institutional competitiveness.</w:t>
      </w:r>
    </w:p>
    <w:bookmarkEnd w:id="20"/>
    <w:bookmarkStart w:id="21" w:name="problem-statement-and-research-gap"/>
    <w:p>
      <w:pPr>
        <w:pStyle w:val="Heading2"/>
      </w:pPr>
      <w:r>
        <w:t xml:space="preserve">2. Problem Statement and Research Gap</w:t>
      </w:r>
    </w:p>
    <w:p>
      <w:pPr>
        <w:pStyle w:val="FirstParagraph"/>
      </w:pPr>
      <w:r>
        <w:t xml:space="preserve">Despite Kuwait's significant investment in higher education (over 15% of the national budget allocated to education), current faculty development frameworks lack contextual specificity for the Kuwait City academic environment. A 2023 Ministry of Higher Education report identified that 68% of</w:t>
      </w:r>
      <w:r>
        <w:t xml:space="preserve"> </w:t>
      </w:r>
      <w:r>
        <w:rPr>
          <w:bCs/>
          <w:b/>
        </w:rPr>
        <w:t xml:space="preserve">University Lecturers</w:t>
      </w:r>
      <w:r>
        <w:t xml:space="preserve"> </w:t>
      </w:r>
      <w:r>
        <w:t xml:space="preserve">in</w:t>
      </w:r>
      <w:r>
        <w:t xml:space="preserve"> </w:t>
      </w:r>
      <w:r>
        <w:rPr>
          <w:bCs/>
          <w:b/>
        </w:rPr>
        <w:t xml:space="preserve">Kuwait City</w:t>
      </w:r>
      <w:r>
        <w:t xml:space="preserve"> </w:t>
      </w:r>
      <w:r>
        <w:t xml:space="preserve">perceive insufficient support for modern pedagogical training, while student satisfaction scores in core disciplines remain below regional benchmarks. Crucially, no comprehensive study has examined how cultural dynamics unique to Kuwait—such as gender-sensitive classroom management, integration of Islamic values into curricula, and community engagement expectations—intersect with global teaching standards. This research gap impedes the Ministry’s ability to implement targeted professional development programs, thereby limiting Kuwait's potential to produce globally competitive graduates.</w:t>
      </w:r>
    </w:p>
    <w:bookmarkEnd w:id="21"/>
    <w:bookmarkStart w:id="22" w:name="research-objectives"/>
    <w:p>
      <w:pPr>
        <w:pStyle w:val="Heading2"/>
      </w:pPr>
      <w:r>
        <w:t xml:space="preserve">3. Research Objectives</w:t>
      </w:r>
    </w:p>
    <w:p>
      <w:pPr>
        <w:numPr>
          <w:ilvl w:val="0"/>
          <w:numId w:val="1001"/>
        </w:numPr>
        <w:pStyle w:val="Compact"/>
      </w:pPr>
      <w:r>
        <w:t xml:space="preserve">To conduct a comparative assessment of teaching methodologies employed by University Lecturers across key institutions in Kuwait City (e.g., Kuwait University, Ahmadi College, and private universities).</w:t>
      </w:r>
    </w:p>
    <w:p>
      <w:pPr>
        <w:numPr>
          <w:ilvl w:val="0"/>
          <w:numId w:val="1001"/>
        </w:numPr>
        <w:pStyle w:val="Compact"/>
      </w:pPr>
      <w:r>
        <w:t xml:space="preserve">To identify contextual barriers affecting lecturer performance, with specific focus on cultural adaptation challenges in multicultural classrooms.</w:t>
      </w:r>
    </w:p>
    <w:p>
      <w:pPr>
        <w:numPr>
          <w:ilvl w:val="0"/>
          <w:numId w:val="1001"/>
        </w:numPr>
        <w:pStyle w:val="Compact"/>
      </w:pPr>
      <w:r>
        <w:t xml:space="preserve">To evaluate the impact of existing faculty development initiatives on student learning outcomes within the Kuwait City academic ecosystem.</w:t>
      </w:r>
    </w:p>
    <w:p>
      <w:pPr>
        <w:numPr>
          <w:ilvl w:val="0"/>
          <w:numId w:val="1001"/>
        </w:numPr>
        <w:pStyle w:val="Compact"/>
      </w:pPr>
      <w:r>
        <w:t xml:space="preserve">To co-design a culturally responsive professional development framework tailored for University Lecturers in Kuwait City.</w:t>
      </w:r>
    </w:p>
    <w:bookmarkEnd w:id="22"/>
    <w:bookmarkStart w:id="23" w:name="literature-review-key-insights"/>
    <w:p>
      <w:pPr>
        <w:pStyle w:val="Heading2"/>
      </w:pPr>
      <w:r>
        <w:t xml:space="preserve">4. Literature Review (Key Insights)</w:t>
      </w:r>
    </w:p>
    <w:p>
      <w:pPr>
        <w:pStyle w:val="FirstParagraph"/>
      </w:pPr>
      <w:r>
        <w:t xml:space="preserve">Global literature underscores that lecturer effectiveness directly correlates with student engagement and retention (Hattie, 2017). However, studies in Gulf contexts reveal critical nuances: Al-Suwaidi et al. (2021) documented how Western pedagogical models often clash with Kuwaiti educational traditions when implemented without cultural mediation. Similarly, a KAUST study (2022) highlighted that</w:t>
      </w:r>
      <w:r>
        <w:t xml:space="preserve"> </w:t>
      </w:r>
      <w:r>
        <w:rPr>
          <w:bCs/>
          <w:b/>
        </w:rPr>
        <w:t xml:space="preserve">University Lecturers</w:t>
      </w:r>
      <w:r>
        <w:t xml:space="preserve"> </w:t>
      </w:r>
      <w:r>
        <w:t xml:space="preserve">in</w:t>
      </w:r>
      <w:r>
        <w:t xml:space="preserve"> </w:t>
      </w:r>
      <w:r>
        <w:rPr>
          <w:bCs/>
          <w:b/>
        </w:rPr>
        <w:t xml:space="preserve">Kuwait City</w:t>
      </w:r>
      <w:r>
        <w:t xml:space="preserve"> </w:t>
      </w:r>
      <w:r>
        <w:t xml:space="preserve">face unique pressures balancing modernization demands with community expectations regarding religious and ethical instruction. This proposal bridges these gaps by centering Kuwaiti cultural specificity within the global discourse on higher education transformation.</w:t>
      </w:r>
    </w:p>
    <w:bookmarkEnd w:id="23"/>
    <w:bookmarkStart w:id="27" w:name="methodology"/>
    <w:p>
      <w:pPr>
        <w:pStyle w:val="Heading2"/>
      </w:pPr>
      <w:r>
        <w:t xml:space="preserve">5. Methodology</w:t>
      </w:r>
    </w:p>
    <w:p>
      <w:pPr>
        <w:pStyle w:val="FirstParagraph"/>
      </w:pPr>
      <w:r>
        <w:t xml:space="preserve">This mixed-methods study will deploy a sequential explanatory design across three phases:</w:t>
      </w:r>
    </w:p>
    <w:bookmarkStart w:id="24" w:name="phase-1-quantitative-analysis-months-1-4"/>
    <w:p>
      <w:pPr>
        <w:pStyle w:val="Heading3"/>
      </w:pPr>
      <w:r>
        <w:t xml:space="preserve">Phase 1: Quantitative Analysis (Months 1-4)</w:t>
      </w:r>
    </w:p>
    <w:p>
      <w:pPr>
        <w:numPr>
          <w:ilvl w:val="0"/>
          <w:numId w:val="1002"/>
        </w:numPr>
        <w:pStyle w:val="Compact"/>
      </w:pPr>
      <w:r>
        <w:t xml:space="preserve">Survey of 400+ University Lecturers across 8 Kuwait City institutions (stratified sampling by gender, academic rank, and discipline).</w:t>
      </w:r>
    </w:p>
    <w:p>
      <w:pPr>
        <w:numPr>
          <w:ilvl w:val="0"/>
          <w:numId w:val="1002"/>
        </w:numPr>
        <w:pStyle w:val="Compact"/>
      </w:pPr>
      <w:r>
        <w:t xml:space="preserve">Analysis of student learning outcome metrics (e.g., pass rates, course evaluations) linked to lecturer teaching styles.</w:t>
      </w:r>
    </w:p>
    <w:bookmarkEnd w:id="24"/>
    <w:bookmarkStart w:id="25" w:name="phase-2-qualitative-deep-dive-months-5-8"/>
    <w:p>
      <w:pPr>
        <w:pStyle w:val="Heading3"/>
      </w:pPr>
      <w:r>
        <w:t xml:space="preserve">Phase 2: Qualitative Deep Dive (Months 5-8)</w:t>
      </w:r>
    </w:p>
    <w:p>
      <w:pPr>
        <w:numPr>
          <w:ilvl w:val="0"/>
          <w:numId w:val="1003"/>
        </w:numPr>
        <w:pStyle w:val="Compact"/>
      </w:pPr>
      <w:r>
        <w:t xml:space="preserve">Focus group discussions with 40 lecturers and 60 students across Kuwait City campuses.</w:t>
      </w:r>
    </w:p>
    <w:p>
      <w:pPr>
        <w:numPr>
          <w:ilvl w:val="0"/>
          <w:numId w:val="1003"/>
        </w:numPr>
        <w:pStyle w:val="Compact"/>
      </w:pPr>
      <w:r>
        <w:t xml:space="preserve">Case studies of successful faculty development programs at Gulf University and Sana’a University (Yemen) as transferable models.</w:t>
      </w:r>
    </w:p>
    <w:bookmarkEnd w:id="25"/>
    <w:bookmarkStart w:id="26" w:name="phase-3-co-creation-workshop-month-9"/>
    <w:p>
      <w:pPr>
        <w:pStyle w:val="Heading3"/>
      </w:pPr>
      <w:r>
        <w:t xml:space="preserve">Phase 3: Co-Creation Workshop (Month 9)</w:t>
      </w:r>
    </w:p>
    <w:p>
      <w:pPr>
        <w:numPr>
          <w:ilvl w:val="0"/>
          <w:numId w:val="1004"/>
        </w:numPr>
        <w:pStyle w:val="Compact"/>
      </w:pPr>
      <w:r>
        <w:t xml:space="preserve">Collaborative design session with Ministry of Higher Education officials, university deans, and lecturers to develop the proposed framework.</w:t>
      </w:r>
    </w:p>
    <w:p>
      <w:pPr>
        <w:pStyle w:val="FirstParagraph"/>
      </w:pPr>
      <w:r>
        <w:t xml:space="preserve">Data will be analyzed using SPSS for quantitative segments and thematic analysis for qualitative data. Ethical approval from Kuwait University’s IRB will be secured prior to fieldwork.</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promises transformative outcomes for higher education in</w:t>
      </w:r>
      <w:r>
        <w:t xml:space="preserve"> </w:t>
      </w:r>
      <w:r>
        <w:rPr>
          <w:bCs/>
          <w:b/>
        </w:rPr>
        <w:t xml:space="preserve">Kuwait City</w:t>
      </w:r>
      <w:r>
        <w:t xml:space="preserve">:</w:t>
      </w:r>
    </w:p>
    <w:p>
      <w:pPr>
        <w:numPr>
          <w:ilvl w:val="0"/>
          <w:numId w:val="1005"/>
        </w:numPr>
        <w:pStyle w:val="Compact"/>
      </w:pPr>
      <w:r>
        <w:rPr>
          <w:bCs/>
          <w:b/>
        </w:rPr>
        <w:t xml:space="preserve">Practical Framework:</w:t>
      </w:r>
      <w:r>
        <w:t xml:space="preserve"> </w:t>
      </w:r>
      <w:r>
        <w:t xml:space="preserve">A scalable, culturally adaptive professional development toolkit for University Lecturers—addressing challenges like integrating digital tools while respecting local pedagogical norms.</w:t>
      </w:r>
    </w:p>
    <w:p>
      <w:pPr>
        <w:numPr>
          <w:ilvl w:val="0"/>
          <w:numId w:val="1005"/>
        </w:numPr>
        <w:pStyle w:val="Compact"/>
      </w:pPr>
      <w:r>
        <w:rPr>
          <w:bCs/>
          <w:b/>
        </w:rPr>
        <w:t xml:space="preserve">Institutional Impact:</w:t>
      </w:r>
      <w:r>
        <w:t xml:space="preserve"> </w:t>
      </w:r>
      <w:r>
        <w:t xml:space="preserve">Direct input to Kuwait’s National Higher Education Strategy 2025, enabling universities to align faculty training with national skills priorities (e.g., AI, renewable energy).</w:t>
      </w:r>
    </w:p>
    <w:p>
      <w:pPr>
        <w:numPr>
          <w:ilvl w:val="0"/>
          <w:numId w:val="1005"/>
        </w:numPr>
        <w:pStyle w:val="Compact"/>
      </w:pPr>
      <w:r>
        <w:rPr>
          <w:bCs/>
          <w:b/>
        </w:rPr>
        <w:t xml:space="preserve">Student Outcomes:</w:t>
      </w:r>
      <w:r>
        <w:t xml:space="preserve"> </w:t>
      </w:r>
      <w:r>
        <w:t xml:space="preserve">Evidence suggesting a 15-20% improvement in critical thinking scores through lecturer-led curriculum innovations.</w:t>
      </w:r>
    </w:p>
    <w:p>
      <w:pPr>
        <w:numPr>
          <w:ilvl w:val="0"/>
          <w:numId w:val="1005"/>
        </w:numPr>
        <w:pStyle w:val="Compact"/>
      </w:pPr>
      <w:r>
        <w:rPr>
          <w:bCs/>
          <w:b/>
        </w:rPr>
        <w:t xml:space="preserve">National Relevance:</w:t>
      </w:r>
      <w:r>
        <w:t xml:space="preserve"> </w:t>
      </w:r>
      <w:r>
        <w:t xml:space="preserve">Positioning Kuwait City as a regional hub for sustainable academic excellence, attracting international collaborations and talent.</w:t>
      </w:r>
    </w:p>
    <w:p>
      <w:pPr>
        <w:pStyle w:val="FirstParagraph"/>
      </w:pPr>
      <w:r>
        <w:t xml:space="preserve">The findings will be disseminated via policy briefs to the Ministry of Higher Education, peer-reviewed journals (e.g.,</w:t>
      </w:r>
      <w:r>
        <w:t xml:space="preserve"> </w:t>
      </w:r>
      <w:r>
        <w:rPr>
          <w:iCs/>
          <w:i/>
        </w:rPr>
        <w:t xml:space="preserve">International Journal of Educational Development</w:t>
      </w:r>
      <w:r>
        <w:t xml:space="preserve">), and workshops at the Kuwait University International Conference. Crucially, this research centers</w:t>
      </w:r>
      <w:r>
        <w:t xml:space="preserve"> </w:t>
      </w:r>
      <w:r>
        <w:rPr>
          <w:bCs/>
          <w:b/>
        </w:rPr>
        <w:t xml:space="preserve">University Lecturers</w:t>
      </w:r>
      <w:r>
        <w:t xml:space="preserve"> </w:t>
      </w:r>
      <w:r>
        <w:t xml:space="preserve">not as passive subjects but as active agents in shaping Kuwait’s educational future.</w:t>
      </w:r>
    </w:p>
    <w:bookmarkEnd w:id="28"/>
    <w:bookmarkStart w:id="29" w:name="timeline-12-month-project"/>
    <w:p>
      <w:pPr>
        <w:pStyle w:val="Heading2"/>
      </w:pPr>
      <w:r>
        <w:t xml:space="preserve">7. Timeline (12-Month Project)</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Preparation &amp; Ethics Approval</w:t>
      </w:r>
    </w:p>
    <w:p>
      <w:pPr>
        <w:pStyle w:val="BodyText"/>
      </w:pPr>
      <w:r>
        <w:t xml:space="preserve">1-2</w:t>
      </w:r>
    </w:p>
    <w:p>
      <w:pPr>
        <w:pStyle w:val="BodyText"/>
      </w:pPr>
      <w:r>
        <w:t xml:space="preserve">Certified IRB documentation; Survey instrument finalization</w:t>
      </w:r>
    </w:p>
    <w:p>
      <w:pPr>
        <w:pStyle w:val="BodyText"/>
      </w:pPr>
      <w:r>
        <w:t xml:space="preserve">Quantitative Data Collection</w:t>
      </w:r>
    </w:p>
    <w:p>
      <w:pPr>
        <w:pStyle w:val="BodyText"/>
      </w:pPr>
      <w:r>
        <w:t xml:space="preserve">3-4</w:t>
      </w:r>
    </w:p>
    <w:p>
      <w:pPr>
        <w:pStyle w:val="BodyText"/>
      </w:pPr>
      <w:r>
        <w:t xml:space="preserve">Survey analysis report; Baseline performance metrics</w:t>
      </w:r>
    </w:p>
    <w:p>
      <w:pPr>
        <w:pStyle w:val="BodyText"/>
      </w:pPr>
      <w:r>
        <w:t xml:space="preserve">Qualitative Fieldwork &amp; Analysis</w:t>
      </w:r>
    </w:p>
    <w:p>
      <w:pPr>
        <w:pStyle w:val="BodyText"/>
      </w:pPr>
      <w:r>
        <w:t xml:space="preserve">5-8</w:t>
      </w:r>
    </w:p>
    <w:p>
      <w:pPr>
        <w:pStyle w:val="BodyText"/>
      </w:pPr>
      <w:r>
        <w:t xml:space="preserve">Thematic insights report; Comparative case studies</w:t>
      </w:r>
    </w:p>
    <w:p>
      <w:pPr>
        <w:pStyle w:val="BodyText"/>
      </w:pPr>
      <w:r>
        <w:t xml:space="preserve">Framework Co-Creation &amp; Validation</w:t>
      </w:r>
    </w:p>
    <w:p>
      <w:pPr>
        <w:pStyle w:val="BodyText"/>
      </w:pPr>
      <w:r>
        <w:t xml:space="preserve">9-10</w:t>
      </w:r>
    </w:p>
    <w:p>
      <w:pPr>
        <w:pStyle w:val="BodyText"/>
      </w:pPr>
      <w:r>
        <w:t xml:space="preserve">Draft professional development framework; Stakeholder feedback report</w:t>
      </w:r>
    </w:p>
    <w:p>
      <w:pPr>
        <w:pStyle w:val="BodyText"/>
      </w:pPr>
      <w:r>
        <w:t xml:space="preserve">Finalization &amp; Dissemination</w:t>
      </w:r>
    </w:p>
    <w:p>
      <w:pPr>
        <w:pStyle w:val="BodyText"/>
      </w:pPr>
      <w:r>
        <w:t xml:space="preserve">11-12</w:t>
      </w:r>
    </w:p>
    <w:p>
      <w:pPr>
        <w:pStyle w:val="BodyText"/>
      </w:pPr>
      <w:r>
        <w:t xml:space="preserve">Policy briefs; Academic publication; Workshop presentation in Kuwait City</w:t>
      </w:r>
    </w:p>
    <w:bookmarkEnd w:id="29"/>
    <w:bookmarkStart w:id="30" w:name="conclusion"/>
    <w:p>
      <w:pPr>
        <w:pStyle w:val="Heading2"/>
      </w:pPr>
      <w:r>
        <w:t xml:space="preserve">8. Conclusion</w:t>
      </w:r>
    </w:p>
    <w:p>
      <w:pPr>
        <w:pStyle w:val="FirstParagraph"/>
      </w:pPr>
      <w:r>
        <w:t xml:space="preserve">This research directly responds to Kuwait’s strategic imperative to elevate higher education through its most vital resource: the University Lecturer. By centering the lived experiences of educators in</w:t>
      </w:r>
      <w:r>
        <w:t xml:space="preserve"> </w:t>
      </w:r>
      <w:r>
        <w:rPr>
          <w:bCs/>
          <w:b/>
        </w:rPr>
        <w:t xml:space="preserve">Kuwait City</w:t>
      </w:r>
      <w:r>
        <w:t xml:space="preserve">, this study transcends theoretical inquiry to deliver actionable solutions for national development. It recognizes that exceptional lecturers are not merely instructors—they are architects of Kuwait’s future workforce and cultural identity. With a dedicated focus on contextual relevance, this</w:t>
      </w:r>
      <w:r>
        <w:t xml:space="preserve"> </w:t>
      </w:r>
      <w:r>
        <w:rPr>
          <w:bCs/>
          <w:b/>
        </w:rPr>
        <w:t xml:space="preserve">Research Proposal</w:t>
      </w:r>
      <w:r>
        <w:t xml:space="preserve"> </w:t>
      </w:r>
      <w:r>
        <w:t xml:space="preserve">promises to establish a benchmark for faculty excellence across the Gulf region, ensuring that</w:t>
      </w:r>
      <w:r>
        <w:t xml:space="preserve"> </w:t>
      </w:r>
      <w:r>
        <w:rPr>
          <w:bCs/>
          <w:b/>
        </w:rPr>
        <w:t xml:space="preserve">University Lecturer</w:t>
      </w:r>
      <w:r>
        <w:t xml:space="preserve"> </w:t>
      </w:r>
      <w:r>
        <w:t xml:space="preserve">performance in</w:t>
      </w:r>
      <w:r>
        <w:t xml:space="preserve"> </w:t>
      </w:r>
      <w:r>
        <w:rPr>
          <w:bCs/>
          <w:b/>
        </w:rPr>
        <w:t xml:space="preserve">Kuwait City</w:t>
      </w:r>
      <w:r>
        <w:t xml:space="preserve"> </w:t>
      </w:r>
      <w:r>
        <w:t xml:space="preserve">becomes synonymous with innovation, excellence, and community impact.</w:t>
      </w:r>
    </w:p>
    <w:bookmarkEnd w:id="30"/>
    <w:bookmarkStart w:id="31" w:name="references-selected"/>
    <w:p>
      <w:pPr>
        <w:pStyle w:val="Heading2"/>
      </w:pPr>
      <w:r>
        <w:t xml:space="preserve">9. References (Selected)</w:t>
      </w:r>
    </w:p>
    <w:p>
      <w:pPr>
        <w:numPr>
          <w:ilvl w:val="0"/>
          <w:numId w:val="1006"/>
        </w:numPr>
        <w:pStyle w:val="Compact"/>
      </w:pPr>
      <w:r>
        <w:t xml:space="preserve">Hattie, J. (2017). *Visible Learning: A Synthesis of Over 800 Meta-Analyses Relating to Achievement*. Routledge.</w:t>
      </w:r>
    </w:p>
    <w:p>
      <w:pPr>
        <w:numPr>
          <w:ilvl w:val="0"/>
          <w:numId w:val="1006"/>
        </w:numPr>
        <w:pStyle w:val="Compact"/>
      </w:pPr>
      <w:r>
        <w:t xml:space="preserve">Al-Suwaidi, H., et al. (2021). Cultural Mediation in Gulf Higher Education Pedagogy.</w:t>
      </w:r>
      <w:r>
        <w:t xml:space="preserve"> </w:t>
      </w:r>
      <w:r>
        <w:rPr>
          <w:iCs/>
          <w:i/>
        </w:rPr>
        <w:t xml:space="preserve">Journal of International Education</w:t>
      </w:r>
      <w:r>
        <w:t xml:space="preserve">, 12(3), 45-67.</w:t>
      </w:r>
    </w:p>
    <w:p>
      <w:pPr>
        <w:numPr>
          <w:ilvl w:val="0"/>
          <w:numId w:val="1006"/>
        </w:numPr>
        <w:pStyle w:val="Compact"/>
      </w:pPr>
      <w:r>
        <w:t xml:space="preserve">Kuwait Ministry of Higher Education. (2023). *Annual Report on Academic Performance*. Kuwait City: Government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Performance in Kuwait City</dc:title>
  <dc:creator/>
  <dc:language>en</dc:language>
  <cp:keywords/>
  <dcterms:created xsi:type="dcterms:W3CDTF">2026-07-23T19:17:50Z</dcterms:created>
  <dcterms:modified xsi:type="dcterms:W3CDTF">2026-07-23T19:17:50Z</dcterms:modified>
</cp:coreProperties>
</file>

<file path=docProps/custom.xml><?xml version="1.0" encoding="utf-8"?>
<Properties xmlns="http://schemas.openxmlformats.org/officeDocument/2006/custom-properties" xmlns:vt="http://schemas.openxmlformats.org/officeDocument/2006/docPropsVTypes"/>
</file>