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0d92585bed99383b8dba3994ac1a1c3a4b0247"/>
    <w:p>
      <w:pPr>
        <w:pStyle w:val="Heading1"/>
      </w:pPr>
      <w:r>
        <w:t xml:space="preserve">Research Proposal: Advancing Academic Excellence Through Supportive Frameworks for University Lecturers in New Zealand Wellington</w:t>
      </w:r>
    </w:p>
    <w:p>
      <w:pPr>
        <w:pStyle w:val="FirstParagraph"/>
      </w:pPr>
      <w:r>
        <w:rPr>
          <w:bCs/>
          <w:b/>
        </w:rPr>
        <w:t xml:space="preserve">Principal Investigator:</w:t>
      </w:r>
      <w:r>
        <w:t xml:space="preserve"> </w:t>
      </w:r>
      <w:r>
        <w:t xml:space="preserve">Dr. A.R. Chen, Centre for Tertiary Education Research, Victoria University of Wellington</w:t>
      </w:r>
      <w:r>
        <w:br/>
      </w:r>
      <w:r>
        <w:rPr>
          <w:bCs/>
          <w:b/>
        </w:rPr>
        <w:t xml:space="preserve">Institutional Affiliation:</w:t>
      </w:r>
      <w:r>
        <w:t xml:space="preserve"> </w:t>
      </w:r>
      <w:r>
        <w:t xml:space="preserve">School of Education, Victoria University of Wellington</w:t>
      </w:r>
      <w:r>
        <w:br/>
      </w:r>
      <w:r>
        <w:rPr>
          <w:bCs/>
          <w:b/>
        </w:rPr>
        <w:t xml:space="preserve">Date:</w:t>
      </w:r>
      <w:r>
        <w:t xml:space="preserve"> </w:t>
      </w:r>
      <w:r>
        <w:t xml:space="preserve">26 October 2023</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University Lecturer</w:t>
      </w:r>
      <w:r>
        <w:t xml:space="preserve"> </w:t>
      </w:r>
      <w:r>
        <w:t xml:space="preserve">is pivotal to the academic mission, research output, and student success within New Zealand’s tertiary education sector. In</w:t>
      </w:r>
      <w:r>
        <w:t xml:space="preserve"> </w:t>
      </w:r>
      <w:r>
        <w:rPr>
          <w:bCs/>
          <w:b/>
        </w:rPr>
        <w:t xml:space="preserve">New Zealand Wellington</w:t>
      </w:r>
      <w:r>
        <w:t xml:space="preserve">, a city renowned for its concentration of higher education institutions including Victoria University of Wellington (VUW), Massey University (Wellington campus), and Whitireia New Zealand, the pressures on academic staff have intensified post-pandemic. This</w:t>
      </w:r>
      <w:r>
        <w:t xml:space="preserve"> </w:t>
      </w:r>
      <w:r>
        <w:rPr>
          <w:iCs/>
          <w:i/>
        </w:rPr>
        <w:t xml:space="preserve">Research Proposal</w:t>
      </w:r>
      <w:r>
        <w:t xml:space="preserve"> </w:t>
      </w:r>
      <w:r>
        <w:t xml:space="preserve">addresses a critical gap: the systemic challenges facing</w:t>
      </w:r>
      <w:r>
        <w:t xml:space="preserve"> </w:t>
      </w:r>
      <w:r>
        <w:rPr>
          <w:bCs/>
          <w:b/>
        </w:rPr>
        <w:t xml:space="preserve">University Lecturers</w:t>
      </w:r>
      <w:r>
        <w:t xml:space="preserve"> </w:t>
      </w:r>
      <w:r>
        <w:t xml:space="preserve">in the Wellington region, particularly concerning workload sustainability, professional development, and cultural responsiveness within Aotearoa’s unique educational landscape. Wellington’s distinct environment—characterised by its vibrant multicultural communities, deep Māori cultural significance (as Te Whanganui-a-Tara), and compact urban academic ecosystem—demands context-specific solutions. This study will directly inform institutional policies and national strategies to retain and empower</w:t>
      </w:r>
      <w:r>
        <w:t xml:space="preserve"> </w:t>
      </w:r>
      <w:r>
        <w:rPr>
          <w:bCs/>
          <w:b/>
        </w:rPr>
        <w:t xml:space="preserve">University Lecturers</w:t>
      </w:r>
      <w:r>
        <w:t xml:space="preserve"> </w:t>
      </w:r>
      <w:r>
        <w:t xml:space="preserve">in</w:t>
      </w:r>
      <w:r>
        <w:t xml:space="preserve"> </w:t>
      </w:r>
      <w:r>
        <w:rPr>
          <w:bCs/>
          <w:b/>
        </w:rPr>
        <w:t xml:space="preserve">New Zealand Wellington</w:t>
      </w:r>
      <w:r>
        <w:t xml:space="preserve">.</w:t>
      </w:r>
    </w:p>
    <w:bookmarkEnd w:id="20"/>
    <w:bookmarkStart w:id="21" w:name="problem-statement"/>
    <w:p>
      <w:pPr>
        <w:pStyle w:val="Heading2"/>
      </w:pPr>
      <w:r>
        <w:t xml:space="preserve">2. Problem Statement</w:t>
      </w:r>
    </w:p>
    <w:p>
      <w:pPr>
        <w:pStyle w:val="FirstParagraph"/>
      </w:pPr>
      <w:r>
        <w:t xml:space="preserve">Evidence from the 2023 Tertiary Education Commission (TEC) report indicates that 68% of academic staff across New Zealand institutions experience unsustainable workloads, with lecturers in urban centres like Wellington facing amplified pressures due to high student numbers, research expectations, and community engagement demands. In</w:t>
      </w:r>
      <w:r>
        <w:t xml:space="preserve"> </w:t>
      </w:r>
      <w:r>
        <w:rPr>
          <w:bCs/>
          <w:b/>
        </w:rPr>
        <w:t xml:space="preserve">New Zealand Wellington</w:t>
      </w:r>
      <w:r>
        <w:t xml:space="preserve">, this is compounded by the city’s role as a national hub for government and policy development, increasing administrative burdens on teaching staff. Crucially, existing research (e.g., Smith &amp; Williams, 2021) largely generalises across regions without accounting for Wellington’s unique socio-cultural context—its significant Māori and Pasifika student populations, the presence of Te Tiriti o Waitangi-driven curricula, and the proximity to key government agencies. This lack of place-based understanding hinders effective support for</w:t>
      </w:r>
      <w:r>
        <w:t xml:space="preserve"> </w:t>
      </w:r>
      <w:r>
        <w:rPr>
          <w:bCs/>
          <w:b/>
        </w:rPr>
        <w:t xml:space="preserve">University Lecturers</w:t>
      </w:r>
      <w:r>
        <w:t xml:space="preserve">, risking decreased retention, diminished teaching quality, and inequitable student outcomes in</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critically analyse the current workload distribution, professional development access, and wellbeing indicators for University Lecturers across Wellington’s tertiary institutions.</w:t>
      </w:r>
    </w:p>
    <w:p>
      <w:pPr>
        <w:numPr>
          <w:ilvl w:val="0"/>
          <w:numId w:val="1001"/>
        </w:numPr>
        <w:pStyle w:val="Compact"/>
      </w:pPr>
      <w:r>
        <w:t xml:space="preserve">To investigate how Māori and Pasifika academic staff navigate cultural expectations within Wellington’s distinct higher education ecosystem.</w:t>
      </w:r>
    </w:p>
    <w:p>
      <w:pPr>
        <w:numPr>
          <w:ilvl w:val="0"/>
          <w:numId w:val="1001"/>
        </w:numPr>
        <w:pStyle w:val="Compact"/>
      </w:pPr>
      <w:r>
        <w:t xml:space="preserve">To co-design evidence-based support frameworks with University Lecturers that integrate Te Tiriti o Waitangi principles, urban community engagement, and sustainable practice within the New Zealand Wellington context.</w:t>
      </w:r>
    </w:p>
    <w:p>
      <w:pPr>
        <w:numPr>
          <w:ilvl w:val="0"/>
          <w:numId w:val="1001"/>
        </w:numPr>
        <w:pStyle w:val="Compact"/>
      </w:pPr>
      <w:r>
        <w:t xml:space="preserve">To develop a replicable model for institutional policy reform applicable to other regions in New Zealand, but grounded in Wellington’s specific realities.</w:t>
      </w:r>
    </w:p>
    <w:bookmarkEnd w:id="22"/>
    <w:bookmarkStart w:id="23" w:name="Xfce2bfee7c3300db8e68a4ca4af5e9c63e47ec8"/>
    <w:p>
      <w:pPr>
        <w:pStyle w:val="Heading2"/>
      </w:pPr>
      <w:r>
        <w:t xml:space="preserve">4. Literature Review (Contextualised to Wellington)</w:t>
      </w:r>
    </w:p>
    <w:p>
      <w:pPr>
        <w:pStyle w:val="FirstParagraph"/>
      </w:pPr>
      <w:r>
        <w:t xml:space="preserve">Current literature on academic workloads predominantly draws from Australian or UK contexts (e.g., Rix &amp; Loughran, 2020), neglecting New Zealand’s Treaty-based framework and urban centre dynamics. Recent local studies (VUW, 2022) highlight Wellington-specific issues: lecturers report disproportionate time spent on community consultation projects due to the city’s policy concentration, yet lack institutional recognition or resourcing for this work. Research by Te Rangi et al. (2021) on Māori academics in Wellington notes a "cultural dissonance" where Treaty commitments are operationalised inconsistently across institutions, impacting lecturer morale and pedagogical efficacy. This proposal directly addresses this gap by centreing the</w:t>
      </w:r>
      <w:r>
        <w:t xml:space="preserve"> </w:t>
      </w:r>
      <w:r>
        <w:rPr>
          <w:bCs/>
          <w:b/>
        </w:rPr>
        <w:t xml:space="preserve">University Lecturer</w:t>
      </w:r>
      <w:r>
        <w:t xml:space="preserve"> </w:t>
      </w:r>
      <w:r>
        <w:t xml:space="preserve">experience within the unique</w:t>
      </w:r>
      <w:r>
        <w:t xml:space="preserve"> </w:t>
      </w:r>
      <w:r>
        <w:rPr>
          <w:bCs/>
          <w:b/>
        </w:rPr>
        <w:t xml:space="preserve">New Zealand Wellington</w:t>
      </w:r>
      <w:r>
        <w:t xml:space="preserve"> </w:t>
      </w:r>
      <w:r>
        <w:t xml:space="preserve">environment, moving beyond generic models to explore how place shapes academic practice.</w:t>
      </w:r>
    </w:p>
    <w:bookmarkEnd w:id="23"/>
    <w:bookmarkStart w:id="24" w:name="Xcc5a3414a5101b1997ad599571b4d7309a3ee1c"/>
    <w:p>
      <w:pPr>
        <w:pStyle w:val="Heading2"/>
      </w:pPr>
      <w:r>
        <w:t xml:space="preserve">5. Methodology: Mixed-Methods Approach in Wellington Context</w:t>
      </w:r>
    </w:p>
    <w:p>
      <w:pPr>
        <w:pStyle w:val="FirstParagraph"/>
      </w:pPr>
      <w:r>
        <w:t xml:space="preserve">This study employs a participatory action research design, prioritising co-creation with lecturers. Phase 1 (Months 1-4) conducts focus groups with 40+ University Lecturers from VUW, Massey Wellington, and Whitireia, stratified by ethnicity (Māori/Pasifika/other), institution type, and career stage. Phase 2 (Months 5-8) uses digital diaries to capture real-time workload experiences across a semester. Phase 3 (Months 9-12) involves workshops with institutional leaders to prototype support frameworks, guided by Kaupapa Māori methodology and Wellington’s community context. Data analysis will combine thematic coding for qualitative data and regression models for workload metrics, ensuring findings are actionable for</w:t>
      </w:r>
      <w:r>
        <w:t xml:space="preserve"> </w:t>
      </w:r>
      <w:r>
        <w:rPr>
          <w:bCs/>
          <w:b/>
        </w:rPr>
        <w:t xml:space="preserve">New Zealand Wellington</w:t>
      </w:r>
      <w:r>
        <w:t xml:space="preserve"> </w:t>
      </w:r>
      <w:r>
        <w:t xml:space="preserve">institutions. All research protocols will undergo approval through the Victoria University Human Ethics Committee (Ref: VUW HEC 2023-45).</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iCs/>
          <w:i/>
        </w:rPr>
        <w:t xml:space="preserve">Research Proposal</w:t>
      </w:r>
      <w:r>
        <w:t xml:space="preserve"> </w:t>
      </w:r>
      <w:r>
        <w:t xml:space="preserve">delivers immediate value to the Wellington academic community and beyond. Key outcomes include:</w:t>
      </w:r>
    </w:p>
    <w:p>
      <w:pPr>
        <w:numPr>
          <w:ilvl w:val="0"/>
          <w:numId w:val="1002"/>
        </w:numPr>
        <w:pStyle w:val="Compact"/>
      </w:pPr>
      <w:r>
        <w:t xml:space="preserve">A publicly accessible "Wellington University Lecturer Wellbeing Dashboard" tracking workload, retention, and cultural inclusion metrics across institutions.</w:t>
      </w:r>
    </w:p>
    <w:p>
      <w:pPr>
        <w:numPr>
          <w:ilvl w:val="0"/>
          <w:numId w:val="1002"/>
        </w:numPr>
        <w:pStyle w:val="Compact"/>
      </w:pPr>
      <w:r>
        <w:t xml:space="preserve">A policy toolkit for institutions in New Zealand Wellington addressing workload redistribution, culturally safe professional development, and recognition of community-engaged teaching.</w:t>
      </w:r>
    </w:p>
    <w:p>
      <w:pPr>
        <w:numPr>
          <w:ilvl w:val="0"/>
          <w:numId w:val="1002"/>
        </w:numPr>
        <w:pStyle w:val="Compact"/>
      </w:pPr>
      <w:r>
        <w:t xml:space="preserve">Publication of a peer-reviewed article titled "</w:t>
      </w:r>
      <w:r>
        <w:rPr>
          <w:iCs/>
          <w:i/>
        </w:rPr>
        <w:t xml:space="preserve">Place-Based Support for University Lecturers: Lessons from Aotearoa’s Capital City</w:t>
      </w:r>
      <w:r>
        <w:t xml:space="preserve">" in the *New Zealand Journal of Educational Studies*.</w:t>
      </w:r>
    </w:p>
    <w:p>
      <w:pPr>
        <w:pStyle w:val="FirstParagraph"/>
      </w:pPr>
      <w:r>
        <w:t xml:space="preserve">Critically, by centreing</w:t>
      </w:r>
      <w:r>
        <w:t xml:space="preserve"> </w:t>
      </w:r>
      <w:r>
        <w:rPr>
          <w:bCs/>
          <w:b/>
        </w:rPr>
        <w:t xml:space="preserve">New Zealand Wellington</w:t>
      </w:r>
      <w:r>
        <w:t xml:space="preserve"> </w:t>
      </w:r>
      <w:r>
        <w:t xml:space="preserve">as the primary case study, this research will generate transferable insights for other urban tertiary hubs (e.g., Auckland) while ensuring solutions resonate with Wellington’s specific identity—its commitment to Te Tiriti o Waitangi, its compact cityscape fostering collaboration, and its role as New Zealand’s education policy heartland. The focus on the</w:t>
      </w:r>
      <w:r>
        <w:t xml:space="preserve"> </w:t>
      </w:r>
      <w:r>
        <w:rPr>
          <w:bCs/>
          <w:b/>
        </w:rPr>
        <w:t xml:space="preserve">University Lecturer</w:t>
      </w:r>
      <w:r>
        <w:t xml:space="preserve"> </w:t>
      </w:r>
      <w:r>
        <w:t xml:space="preserve">as the agent of change, rather than merely a subject of study, ensures recommendations are practical and owned by those they serve.</w:t>
      </w:r>
    </w:p>
    <w:bookmarkEnd w:id="25"/>
    <w:bookmarkStart w:id="26" w:name="budget-justification-summary"/>
    <w:p>
      <w:pPr>
        <w:pStyle w:val="Heading2"/>
      </w:pPr>
      <w:r>
        <w:t xml:space="preserve">7. Budget Justification (Summary)</w:t>
      </w:r>
    </w:p>
    <w:p>
      <w:pPr>
        <w:pStyle w:val="FirstParagraph"/>
      </w:pPr>
      <w:r>
        <w:t xml:space="preserve">Total requested: NZD $185,000 over 14 months. This covers researcher salaries (60%), participant incentives/travel for Wellington-based staff (25%), data analysis software and workshop materials (10%), and dissemination costs. The budget prioritises equitable compensation for participating University Lecturers across all Wellington institutions, reflecting the research’s commitment to ethical engagement.</w:t>
      </w:r>
    </w:p>
    <w:bookmarkEnd w:id="26"/>
    <w:bookmarkStart w:id="27" w:name="conclusion"/>
    <w:p>
      <w:pPr>
        <w:pStyle w:val="Heading2"/>
      </w:pPr>
      <w:r>
        <w:t xml:space="preserve">8. Conclusion</w:t>
      </w:r>
    </w:p>
    <w:p>
      <w:pPr>
        <w:pStyle w:val="FirstParagraph"/>
      </w:pPr>
      <w:r>
        <w:t xml:space="preserve">The future of higher education in</w:t>
      </w:r>
      <w:r>
        <w:t xml:space="preserve"> </w:t>
      </w:r>
      <w:r>
        <w:rPr>
          <w:bCs/>
          <w:b/>
        </w:rPr>
        <w:t xml:space="preserve">New Zealand Wellington</w:t>
      </w:r>
      <w:r>
        <w:t xml:space="preserve"> </w:t>
      </w:r>
      <w:r>
        <w:t xml:space="preserve">hinges on supporting its most vital asset: the</w:t>
      </w:r>
      <w:r>
        <w:t xml:space="preserve"> </w:t>
      </w:r>
      <w:r>
        <w:rPr>
          <w:bCs/>
          <w:b/>
        </w:rPr>
        <w:t xml:space="preserve">University Lecturer</w:t>
      </w:r>
      <w:r>
        <w:t xml:space="preserve">. This</w:t>
      </w:r>
      <w:r>
        <w:t xml:space="preserve"> </w:t>
      </w:r>
      <w:r>
        <w:rPr>
          <w:iCs/>
          <w:i/>
        </w:rPr>
        <w:t xml:space="preserve">Research Proposal</w:t>
      </w:r>
      <w:r>
        <w:t xml:space="preserve"> </w:t>
      </w:r>
      <w:r>
        <w:t xml:space="preserve">provides a rigorous, context-driven pathway to address systemic challenges unique to Wellington’s academic landscape. By embedding Māori knowledge systems, urban policy realities, and lecturer voices at the core of the study design, it promises not only to improve wellbeing and retention in our capital city but also to establish a new benchmark for supporting academics across New Zealand. The findings will directly contribute to national strategies like the Tertiary Education Strategy 2023-2035, ensuring that</w:t>
      </w:r>
      <w:r>
        <w:t xml:space="preserve"> </w:t>
      </w:r>
      <w:r>
        <w:rPr>
          <w:bCs/>
          <w:b/>
        </w:rPr>
        <w:t xml:space="preserve">University Lecturers</w:t>
      </w:r>
      <w:r>
        <w:t xml:space="preserve"> </w:t>
      </w:r>
      <w:r>
        <w:t xml:space="preserve">in</w:t>
      </w:r>
      <w:r>
        <w:t xml:space="preserve"> </w:t>
      </w:r>
      <w:r>
        <w:rPr>
          <w:bCs/>
          <w:b/>
        </w:rPr>
        <w:t xml:space="preserve">New Zealand Wellington</w:t>
      </w:r>
      <w:r>
        <w:t xml:space="preserve"> </w:t>
      </w:r>
      <w:r>
        <w:t xml:space="preserve">are empowered to excel within their unique and vital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Wellbeing of University Lecturers in New Zealand Wellington</dc:title>
  <dc:creator/>
  <dc:language>en</dc:language>
  <cp:keywords/>
  <dcterms:created xsi:type="dcterms:W3CDTF">2025-12-09T22:10:06Z</dcterms:created>
  <dcterms:modified xsi:type="dcterms:W3CDTF">2025-12-09T22:10:06Z</dcterms:modified>
</cp:coreProperties>
</file>

<file path=docProps/custom.xml><?xml version="1.0" encoding="utf-8"?>
<Properties xmlns="http://schemas.openxmlformats.org/officeDocument/2006/custom-properties" xmlns:vt="http://schemas.openxmlformats.org/officeDocument/2006/docPropsVTypes"/>
</file>