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9" w:name="X7b58b55a5751118a965284a408ac48454900b7b"/>
    <w:p>
      <w:pPr>
        <w:pStyle w:val="Heading1"/>
      </w:pPr>
      <w:r>
        <w:t xml:space="preserve">Research Proposal: Cultivating Innovation and Global Engagement in Higher Education through the University Lecturer Role in Russia Moscow</w:t>
      </w:r>
    </w:p>
    <w:bookmarkStart w:id="20" w:name="i.-introduction-and-context"/>
    <w:p>
      <w:pPr>
        <w:pStyle w:val="Heading2"/>
      </w:pPr>
      <w:r>
        <w:t xml:space="preserve">I. Introduction and Context</w:t>
      </w:r>
    </w:p>
    <w:p>
      <w:pPr>
        <w:pStyle w:val="FirstParagraph"/>
      </w:pPr>
      <w:r>
        <w:t xml:space="preserve">The evolving landscape of higher education in Russia, particularly within Moscow's prestigious academic ecosystem, demands transformative approaches to teaching, research, and international collaboration. As a dedicated scholar preparing to assume a University Lecturer position at one of Moscow's leading institutions—such as Lomonosov Moscow State University or the Higher School of Economics—the proposed Research Proposal outlines an actionable framework for advancing academic excellence. This document addresses critical gaps in cross-cultural pedagogy, research integration, and global knowledge exchange within Russia's educational infrastructure. The strategic focus on Moscow as a dynamic hub for Eastern European academia positions this initiative to significantly impact both institutional development and Russia's broader contribution to international scholarship.</w:t>
      </w:r>
    </w:p>
    <w:bookmarkEnd w:id="20"/>
    <w:bookmarkStart w:id="21" w:name="ii.-problem-statement"/>
    <w:p>
      <w:pPr>
        <w:pStyle w:val="Heading2"/>
      </w:pPr>
      <w:r>
        <w:t xml:space="preserve">II. Problem Statement</w:t>
      </w:r>
    </w:p>
    <w:p>
      <w:pPr>
        <w:pStyle w:val="FirstParagraph"/>
      </w:pPr>
      <w:r>
        <w:t xml:space="preserve">Despite Moscow's historical prominence in Russian academia, persistent challenges hinder the full potential of University Lecturers in driving innovation. These include: (a) Fragmented integration of global research trends into local curricula, (b) Limited mechanisms for leveraging Moscow's geopolitical position to foster East-West academic partnerships, and (c) Inadequate support systems for early-career lecturers navigating Russia's unique educational policies. Current teaching methodologies often prioritize theoretical knowledge over applied, globally relevant skills, creating a disconnect between graduates and the demands of international markets. This Research Proposal directly confronts these issues by proposing a lecturer-centered model that aligns with Moscow's strategic vision to become a leading global academic destination.</w:t>
      </w:r>
    </w:p>
    <w:bookmarkEnd w:id="21"/>
    <w:bookmarkStart w:id="22" w:name="iii.-research-objectives"/>
    <w:p>
      <w:pPr>
        <w:pStyle w:val="Heading2"/>
      </w:pPr>
      <w:r>
        <w:t xml:space="preserve">III. Research Objectives</w:t>
      </w:r>
    </w:p>
    <w:p>
      <w:pPr>
        <w:pStyle w:val="FirstParagraph"/>
      </w:pPr>
      <w:r>
        <w:t xml:space="preserve">This proposal outlines three core objectives designed for immediate implementation upon appointment as University Lecturer in Russia Moscow:</w:t>
      </w:r>
    </w:p>
    <w:p>
      <w:pPr>
        <w:numPr>
          <w:ilvl w:val="0"/>
          <w:numId w:val="1001"/>
        </w:numPr>
        <w:pStyle w:val="Compact"/>
      </w:pPr>
      <w:r>
        <w:rPr>
          <w:bCs/>
          <w:b/>
        </w:rPr>
        <w:t xml:space="preserve">Curriculum Innovation:</w:t>
      </w:r>
      <w:r>
        <w:t xml:space="preserve"> </w:t>
      </w:r>
      <w:r>
        <w:t xml:space="preserve">Develop interdisciplinary modules blending Russian academic traditions with contemporary global frameworks (e.g., sustainable development, digital humanities) tailored for Moscow's student demographics.</w:t>
      </w:r>
    </w:p>
    <w:p>
      <w:pPr>
        <w:numPr>
          <w:ilvl w:val="0"/>
          <w:numId w:val="1001"/>
        </w:numPr>
        <w:pStyle w:val="Compact"/>
      </w:pPr>
      <w:r>
        <w:rPr>
          <w:bCs/>
          <w:b/>
        </w:rPr>
        <w:t xml:space="preserve">Research-Teaching Synergy:</w:t>
      </w:r>
      <w:r>
        <w:t xml:space="preserve"> </w:t>
      </w:r>
      <w:r>
        <w:t xml:space="preserve">Establish a structured pathway where University Lecturers actively translate ongoing research into classroom content, enhancing pedagogical relevance while contributing to institutional knowledge production.</w:t>
      </w:r>
    </w:p>
    <w:p>
      <w:pPr>
        <w:numPr>
          <w:ilvl w:val="0"/>
          <w:numId w:val="1001"/>
        </w:numPr>
        <w:pStyle w:val="Compact"/>
      </w:pPr>
      <w:r>
        <w:rPr>
          <w:bCs/>
          <w:b/>
        </w:rPr>
        <w:t xml:space="preserve">International Network Expansion:</w:t>
      </w:r>
      <w:r>
        <w:t xml:space="preserve"> </w:t>
      </w:r>
      <w:r>
        <w:t xml:space="preserve">Forge partnerships with universities across Eurasia and Europe to create student exchange programs, joint conferences, and collaborative research projects—leveraging Moscow's central location for cross-continental academic mobility.</w:t>
      </w:r>
    </w:p>
    <w:bookmarkEnd w:id="22"/>
    <w:bookmarkStart w:id="23" w:name="iv.-literature-review-key-gaps-addressed"/>
    <w:p>
      <w:pPr>
        <w:pStyle w:val="Heading2"/>
      </w:pPr>
      <w:r>
        <w:t xml:space="preserve">IV. Literature Review (Key Gaps Addressed)</w:t>
      </w:r>
    </w:p>
    <w:p>
      <w:pPr>
        <w:pStyle w:val="FirstParagraph"/>
      </w:pPr>
      <w:r>
        <w:t xml:space="preserve">Existing scholarship on Russian higher education (e.g., studies by Karpov &amp; Popova, 2021) emphasizes structural challenges but overlooks the lecturer's role as a catalyst for change. Similarly, global best practices in pedagogy (UNESCO, 2023) rarely address context-specific adaptations for post-Soviet academic environments. This Research Proposal bridges this gap by contextualizing international models within Russia Moscow’s cultural and policy framework—particularly considering recent reforms like the "National Project 'Education'" (2018–2024). Crucially, it moves beyond critique to propose actionable lecturer-led interventions that align with Russian federal educational priorities while fostering global competitiveness.</w:t>
      </w:r>
    </w:p>
    <w:bookmarkEnd w:id="23"/>
    <w:bookmarkStart w:id="24" w:name="v.-methodology"/>
    <w:p>
      <w:pPr>
        <w:pStyle w:val="Heading2"/>
      </w:pPr>
      <w:r>
        <w:t xml:space="preserve">V. Methodology</w:t>
      </w:r>
    </w:p>
    <w:p>
      <w:pPr>
        <w:pStyle w:val="FirstParagraph"/>
      </w:pPr>
      <w:r>
        <w:t xml:space="preserve">The proposed Research Proposal employs a mixed-methods approach over a 36-month period:</w:t>
      </w:r>
    </w:p>
    <w:p>
      <w:pPr>
        <w:numPr>
          <w:ilvl w:val="0"/>
          <w:numId w:val="1002"/>
        </w:numPr>
        <w:pStyle w:val="Compact"/>
      </w:pPr>
      <w:r>
        <w:rPr>
          <w:bCs/>
          <w:b/>
        </w:rPr>
        <w:t xml:space="preserve">Phase 1 (Months 1–6):</w:t>
      </w:r>
      <w:r>
        <w:t xml:space="preserve"> </w:t>
      </w:r>
      <w:r>
        <w:t xml:space="preserve">Collaborative curriculum mapping with Moscow faculty to identify core gaps in existing programs (e.g., business, engineering, humanities) through surveys and focus groups. This phase will specifically target alignment with Russia's national strategic goals for STEM and cultural diplomacy.</w:t>
      </w:r>
    </w:p>
    <w:p>
      <w:pPr>
        <w:numPr>
          <w:ilvl w:val="0"/>
          <w:numId w:val="1002"/>
        </w:numPr>
        <w:pStyle w:val="Compact"/>
      </w:pPr>
      <w:r>
        <w:rPr>
          <w:bCs/>
          <w:b/>
        </w:rPr>
        <w:t xml:space="preserve">Phase 2 (Months 7–24):</w:t>
      </w:r>
      <w:r>
        <w:t xml:space="preserve"> </w:t>
      </w:r>
      <w:r>
        <w:t xml:space="preserve">Implementation of pilot courses featuring "research-embedded pedagogy" at partner Moscow institutions, supplemented by digital platforms for remote collaboration with European/Asian universities. Student performance metrics, feedback surveys, and lecturer reflective journals will track efficacy.</w:t>
      </w:r>
    </w:p>
    <w:p>
      <w:pPr>
        <w:numPr>
          <w:ilvl w:val="0"/>
          <w:numId w:val="1002"/>
        </w:numPr>
        <w:pStyle w:val="Compact"/>
      </w:pPr>
      <w:r>
        <w:rPr>
          <w:bCs/>
          <w:b/>
        </w:rPr>
        <w:t xml:space="preserve">Phase 3 (Months 25–36):</w:t>
      </w:r>
      <w:r>
        <w:t xml:space="preserve"> </w:t>
      </w:r>
      <w:r>
        <w:t xml:space="preserve">Evaluation of outcomes via comparative analysis of graduate employability rates (in Russia and internationally), publication output by participating lecturers, and institutional adoption of new frameworks. Data will be triangulated using qualitative interviews with Moscow university administrators.</w:t>
      </w:r>
    </w:p>
    <w:p>
      <w:pPr>
        <w:pStyle w:val="FirstParagraph"/>
      </w:pPr>
      <w:r>
        <w:t xml:space="preserve">All activities will adhere to Russian academic standards while integrating international research ethics protocols—ensuring the University Lecturer role becomes a benchmark for evidence-based practice in Russia Moscow.</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multifaceted impact:</w:t>
      </w:r>
    </w:p>
    <w:p>
      <w:pPr>
        <w:numPr>
          <w:ilvl w:val="0"/>
          <w:numId w:val="1003"/>
        </w:numPr>
        <w:pStyle w:val="Compact"/>
      </w:pPr>
      <w:r>
        <w:rPr>
          <w:bCs/>
          <w:b/>
        </w:rPr>
        <w:t xml:space="preserve">Institutional:</w:t>
      </w:r>
      <w:r>
        <w:t xml:space="preserve"> </w:t>
      </w:r>
      <w:r>
        <w:t xml:space="preserve">A validated model for transforming University Lecturer roles from content-delivery to innovation leadership, directly supporting Moscow universities’ goals of securing top global rankings (e.g., QS World University Rankings).</w:t>
      </w:r>
    </w:p>
    <w:p>
      <w:pPr>
        <w:numPr>
          <w:ilvl w:val="0"/>
          <w:numId w:val="1003"/>
        </w:numPr>
        <w:pStyle w:val="Compact"/>
      </w:pPr>
      <w:r>
        <w:rPr>
          <w:bCs/>
          <w:b/>
        </w:rPr>
        <w:t xml:space="preserve">National:</w:t>
      </w:r>
      <w:r>
        <w:t xml:space="preserve"> </w:t>
      </w:r>
      <w:r>
        <w:t xml:space="preserve">Contribution to Russia's 2030 Education Strategy by creating scalable frameworks for integrating global knowledge into domestic curricula—enhancing the country’s soft power through academic diplomacy.</w:t>
      </w:r>
    </w:p>
    <w:p>
      <w:pPr>
        <w:numPr>
          <w:ilvl w:val="0"/>
          <w:numId w:val="1003"/>
        </w:numPr>
        <w:pStyle w:val="Compact"/>
      </w:pPr>
      <w:r>
        <w:rPr>
          <w:bCs/>
          <w:b/>
        </w:rPr>
        <w:t xml:space="preserve">Global:</w:t>
      </w:r>
      <w:r>
        <w:t xml:space="preserve"> </w:t>
      </w:r>
      <w:r>
        <w:t xml:space="preserve">Establishment of Moscow as a nexus for Eurasian scholarship via new research partnerships, countering isolationist trends and positioning Russia as an active participant in global academic discourse.</w:t>
      </w:r>
    </w:p>
    <w:p>
      <w:pPr>
        <w:pStyle w:val="FirstParagraph"/>
      </w:pPr>
      <w:r>
        <w:t xml:space="preserve">Significantly, the Research Proposal ensures tangible benefits for students: graduates will emerge with internationally recognized competencies—bridging the gap between Moscow’s educational output and global employer expectations. For the University Lecturer candidate, this initiative cements their role as a transformative leader within Russia's academic community.</w:t>
      </w:r>
    </w:p>
    <w:bookmarkEnd w:id="25"/>
    <w:bookmarkStart w:id="26" w:name="vii.-timeline-and-resources"/>
    <w:p>
      <w:pPr>
        <w:pStyle w:val="Heading2"/>
      </w:pPr>
      <w:r>
        <w:t xml:space="preserve">VII. Timeline and Resources</w:t>
      </w:r>
    </w:p>
    <w:p>
      <w:pPr>
        <w:pStyle w:val="FirstParagraph"/>
      </w:pPr>
      <w:r>
        <w:t xml:space="preserve">A phased implementation plan is outlined below, designed to maximize resource efficiency within Moscow’s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 1–3</w:t>
            </w:r>
          </w:p>
        </w:tc>
        <w:tc>
          <w:tcPr/>
          <w:p>
            <w:pPr>
              <w:pStyle w:val="Compact"/>
              <w:jc w:val="left"/>
            </w:pPr>
            <w:r>
              <w:t xml:space="preserve">Campus engagement; needs assessment; MOU development with 2 European partners</w:t>
            </w:r>
          </w:p>
        </w:tc>
        <w:tc>
          <w:tcPr/>
          <w:p>
            <w:pPr>
              <w:pStyle w:val="Compact"/>
              <w:jc w:val="left"/>
            </w:pPr>
            <w:r>
              <w:t xml:space="preserve">Funding: $15,000 (travel for partnership meetings)</w:t>
            </w:r>
          </w:p>
        </w:tc>
      </w:tr>
      <w:tr>
        <w:tc>
          <w:tcPr/>
          <w:p>
            <w:pPr>
              <w:pStyle w:val="Compact"/>
              <w:jc w:val="left"/>
            </w:pPr>
            <w:r>
              <w:t xml:space="preserve">Month 4–12</w:t>
            </w:r>
          </w:p>
        </w:tc>
        <w:tc>
          <w:tcPr/>
          <w:p>
            <w:pPr>
              <w:pStyle w:val="Compact"/>
              <w:jc w:val="left"/>
            </w:pPr>
            <w:r>
              <w:t xml:space="preserve">Pilot course development; lecturer training workshops; digital platform setup</w:t>
            </w:r>
          </w:p>
        </w:tc>
        <w:tc>
          <w:tcPr/>
          <w:p>
            <w:pPr>
              <w:pStyle w:val="Compact"/>
              <w:jc w:val="left"/>
            </w:pPr>
            <w:r>
              <w:t xml:space="preserve">Funding: $25,000 (tech tools, curriculum materials)</w:t>
            </w:r>
          </w:p>
        </w:tc>
      </w:tr>
      <w:tr>
        <w:tc>
          <w:tcPr/>
          <w:p>
            <w:pPr>
              <w:pStyle w:val="Compact"/>
              <w:jc w:val="left"/>
            </w:pPr>
            <w:r>
              <w:t xml:space="preserve">Month 13–36</w:t>
            </w:r>
          </w:p>
        </w:tc>
        <w:tc>
          <w:tcPr/>
          <w:p>
            <w:pPr>
              <w:pStyle w:val="Compact"/>
              <w:jc w:val="left"/>
            </w:pPr>
            <w:r>
              <w:t xml:space="preserve">Program scaling across 5 Moscow departments; evaluation and dissemination</w:t>
            </w:r>
          </w:p>
        </w:tc>
        <w:tc>
          <w:tcPr/>
          <w:p>
            <w:pPr>
              <w:pStyle w:val="Compact"/>
              <w:jc w:val="left"/>
            </w:pPr>
            <w:r>
              <w:t xml:space="preserve">Funding: $40,000 (student stipends, conference travel)</w:t>
            </w:r>
          </w:p>
        </w:tc>
      </w:tr>
    </w:tbl>
    <w:bookmarkEnd w:id="26"/>
    <w:bookmarkStart w:id="27" w:name="viii.-conclusion"/>
    <w:p>
      <w:pPr>
        <w:pStyle w:val="Heading2"/>
      </w:pPr>
      <w:r>
        <w:t xml:space="preserve">VIII. Conclusion</w:t>
      </w:r>
    </w:p>
    <w:p>
      <w:pPr>
        <w:pStyle w:val="FirstParagraph"/>
      </w:pPr>
      <w:r>
        <w:t xml:space="preserve">This Research Proposal transcends conventional academic planning by centering the University Lecturer as a strategic agent of change within Russia Moscow’s higher education landscape. It recognizes that Moscow’s unique position—simultaneously rooted in Russian scholarly tradition and positioned at the crossroads of Eurasian innovation—demands tailored, action-oriented research. By embedding global best practices within Russia's institutional context, this initiative promises to elevate teaching quality, strengthen international ties, and ultimately contribute to the country's vision of academic leadership. As a prospective University Lecturer committed to this mission, I pledge full dedication to executing this Research Proposal with rigor and cultural sensitivity—ensuring that Moscow remains not merely a participant in global education but an architect of its future. The successful implementation would set a new standard for lecturer-driven innovation across Russia, proving that academic excellence is both locally grounded and globally resonant.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Russia Moscow</dc:title>
  <dc:creator/>
  <dc:language>en</dc:language>
  <cp:keywords/>
  <dcterms:created xsi:type="dcterms:W3CDTF">2026-07-21T08:47:22Z</dcterms:created>
  <dcterms:modified xsi:type="dcterms:W3CDTF">2026-07-21T08:47:22Z</dcterms:modified>
</cp:coreProperties>
</file>

<file path=docProps/custom.xml><?xml version="1.0" encoding="utf-8"?>
<Properties xmlns="http://schemas.openxmlformats.org/officeDocument/2006/custom-properties" xmlns:vt="http://schemas.openxmlformats.org/officeDocument/2006/docPropsVTypes"/>
</file>