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Germany</w:t>
      </w:r>
      <w:r>
        <w:t xml:space="preserve"> </w:t>
      </w:r>
      <w:r>
        <w:t xml:space="preserve">Berlin</w:t>
      </w:r>
    </w:p>
    <w:bookmarkStart w:id="31" w:name="X58ae1b5cb9ab4c9ec2a7d61226594a23b939e32"/>
    <w:p>
      <w:pPr>
        <w:pStyle w:val="Heading1"/>
      </w:pPr>
      <w:r>
        <w:t xml:space="preserve">Research Proposal: The Evolving Role and Market Dynamics of UX UI Designers in Germany's Berlin Tech Ecosystem</w:t>
      </w:r>
    </w:p>
    <w:bookmarkStart w:id="20" w:name="introduction-and-background"/>
    <w:p>
      <w:pPr>
        <w:pStyle w:val="Heading2"/>
      </w:pPr>
      <w:r>
        <w:t xml:space="preserve">1. Introduction and Background</w:t>
      </w:r>
    </w:p>
    <w:p>
      <w:pPr>
        <w:pStyle w:val="FirstParagraph"/>
      </w:pPr>
      <w:r>
        <w:t xml:space="preserve">The digital transformation sweeping across Europe has positioned Berlin as Germany's undisputed epicenter for innovation, startups, and tech entrepreneurship. With over 30,000 digital companies operating in the city—including established enterprises like Zalando and burgeoning startups in fintech, healthtech, and AI—Berlin's tech landscape demands exceptional user experience (UX) and user interface (UI) design expertise. This Research Proposal investigates the critical role of</w:t>
      </w:r>
      <w:r>
        <w:t xml:space="preserve"> </w:t>
      </w:r>
      <w:r>
        <w:rPr>
          <w:bCs/>
          <w:b/>
        </w:rPr>
        <w:t xml:space="preserve">UX UI Designer</w:t>
      </w:r>
      <w:r>
        <w:t xml:space="preserve"> </w:t>
      </w:r>
      <w:r>
        <w:t xml:space="preserve">professionals within</w:t>
      </w:r>
      <w:r>
        <w:t xml:space="preserve"> </w:t>
      </w:r>
      <w:r>
        <w:rPr>
          <w:bCs/>
          <w:b/>
        </w:rPr>
        <w:t xml:space="preserve">Germany Berlin</w:t>
      </w:r>
      <w:r>
        <w:t xml:space="preserve">'s rapidly evolving digital economy. As Germany strengthens its position as a European tech powerhouse, understanding the specific needs, challenges, and opportunities for UX UI Designers becomes paramount for sustainable growth.</w:t>
      </w:r>
    </w:p>
    <w:bookmarkEnd w:id="20"/>
    <w:bookmarkStart w:id="21" w:name="problem-statement"/>
    <w:p>
      <w:pPr>
        <w:pStyle w:val="Heading2"/>
      </w:pPr>
      <w:r>
        <w:t xml:space="preserve">2. Problem Statement</w:t>
      </w:r>
    </w:p>
    <w:p>
      <w:pPr>
        <w:pStyle w:val="FirstParagraph"/>
      </w:pPr>
      <w:r>
        <w:t xml:space="preserve">Despite Berlin's reputation as a magnet for digital talent, significant gaps persist in the market understanding of UX UI Designer roles. Employers struggle to identify candidates with the precise blend of technical skills, cultural awareness, and regulatory knowledge required for success in Germany's unique business environment. Simultaneously, designers face challenges navigating German work culture, GDPR compliance intricacies, and localization needs beyond standard Western design principles. This disconnect risks hindering Berlin's potential as Europe's leading innovation hub. Without data-driven insights into the</w:t>
      </w:r>
      <w:r>
        <w:t xml:space="preserve"> </w:t>
      </w:r>
      <w:r>
        <w:rPr>
          <w:bCs/>
          <w:b/>
        </w:rPr>
        <w:t xml:space="preserve">UX UI Designer</w:t>
      </w:r>
      <w:r>
        <w:t xml:space="preserve"> </w:t>
      </w:r>
      <w:r>
        <w:t xml:space="preserve">market within</w:t>
      </w:r>
      <w:r>
        <w:t xml:space="preserve"> </w:t>
      </w:r>
      <w:r>
        <w:rPr>
          <w:bCs/>
          <w:b/>
        </w:rPr>
        <w:t xml:space="preserve">Germany Berlin</w:t>
      </w:r>
      <w:r>
        <w:t xml:space="preserve">, both talent acquisition and professional development initiatives remain fragmented and inefficient.</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UX UI Designers across Berlin's tech sector (startups, scale-ups, established enterprises).</w:t>
      </w:r>
    </w:p>
    <w:p>
      <w:pPr>
        <w:numPr>
          <w:ilvl w:val="0"/>
          <w:numId w:val="1001"/>
        </w:numPr>
        <w:pStyle w:val="Compact"/>
      </w:pPr>
      <w:r>
        <w:t xml:space="preserve">To identify key competencies and emerging skill requirements specific to the German context (e.g., GDPR integration, multilingual UX, regulatory navigation).</w:t>
      </w:r>
    </w:p>
    <w:p>
      <w:pPr>
        <w:numPr>
          <w:ilvl w:val="0"/>
          <w:numId w:val="1001"/>
        </w:numPr>
        <w:pStyle w:val="Compact"/>
      </w:pPr>
      <w:r>
        <w:t xml:space="preserve">To analyze cultural and structural challenges faced by UX UI Designers in Berlin's work environment.</w:t>
      </w:r>
    </w:p>
    <w:p>
      <w:pPr>
        <w:numPr>
          <w:ilvl w:val="0"/>
          <w:numId w:val="1001"/>
        </w:numPr>
        <w:pStyle w:val="Compact"/>
      </w:pPr>
      <w:r>
        <w:t xml:space="preserve">To evaluate the impact of Germany's digital policies (e.g., Digital Agenda 2030) on design practices and career trajectories.</w:t>
      </w:r>
    </w:p>
    <w:p>
      <w:pPr>
        <w:numPr>
          <w:ilvl w:val="0"/>
          <w:numId w:val="1001"/>
        </w:numPr>
        <w:pStyle w:val="Compact"/>
      </w:pPr>
      <w:r>
        <w:t xml:space="preserve">To develop actionable recommendations for educational institutions, employers, and designers themselves within the Berlin ecosystem.</w:t>
      </w:r>
    </w:p>
    <w:bookmarkEnd w:id="22"/>
    <w:bookmarkStart w:id="23" w:name="Xcee4dc0aa42795f18318a7b70a54e2b3abe3327"/>
    <w:p>
      <w:pPr>
        <w:pStyle w:val="Heading2"/>
      </w:pPr>
      <w:r>
        <w:t xml:space="preserve">4. Literature Review: Contextualizing the Berlin Market</w:t>
      </w:r>
    </w:p>
    <w:p>
      <w:pPr>
        <w:pStyle w:val="FirstParagraph"/>
      </w:pPr>
      <w:r>
        <w:t xml:space="preserve">Existing research on UX/UI design primarily focuses on Silicon Valley or Anglophone markets, overlooking Germany's distinct regulatory framework and cultural nuances. Studies like those from the German Federal Ministry for Economic Affairs (BMWi) highlight Berlin as Europe's third-largest startup hub but neglect role-specific insights. Research by the Digital Association (BITKOM) confirms a 27% annual increase in digital roles since 2020, yet lacks granularity on UX/UI specialization. Crucially, no comprehensive analysis examines how GDPR mandates reshape information architecture or how German work culture (e.g., consensus-driven processes) affects design collaboration. This gap necessitates a localized</w:t>
      </w:r>
      <w:r>
        <w:t xml:space="preserve"> </w:t>
      </w:r>
      <w:r>
        <w:rPr>
          <w:bCs/>
          <w:b/>
        </w:rPr>
        <w:t xml:space="preserve">Research Proposal</w:t>
      </w:r>
      <w:r>
        <w:t xml:space="preserve"> </w:t>
      </w:r>
      <w:r>
        <w:t xml:space="preserve">centered on</w:t>
      </w:r>
      <w:r>
        <w:t xml:space="preserve"> </w:t>
      </w:r>
      <w:r>
        <w:rPr>
          <w:bCs/>
          <w:b/>
        </w:rPr>
        <w:t xml:space="preserve">Germany Berlin</w:t>
      </w:r>
      <w:r>
        <w:t xml:space="preserve">.</w:t>
      </w:r>
    </w:p>
    <w:bookmarkEnd w:id="23"/>
    <w:bookmarkStart w:id="26" w:name="methodology-a-mixed-methods-approach"/>
    <w:p>
      <w:pPr>
        <w:pStyle w:val="Heading2"/>
      </w:pPr>
      <w:r>
        <w:t xml:space="preserve">5. Methodology: A Mixed-Methods Approach</w:t>
      </w:r>
    </w:p>
    <w:p>
      <w:pPr>
        <w:pStyle w:val="FirstParagraph"/>
      </w:pPr>
      <w:r>
        <w:t xml:space="preserve">This study employs triangulated methodology to ensure robust, context-specific insights:</w:t>
      </w:r>
    </w:p>
    <w:bookmarkStart w:id="24" w:name="quantitative-phase-months-1-3"/>
    <w:p>
      <w:pPr>
        <w:pStyle w:val="Heading3"/>
      </w:pPr>
      <w:r>
        <w:t xml:space="preserve">Quantitative Phase (Months 1-3)</w:t>
      </w:r>
    </w:p>
    <w:p>
      <w:pPr>
        <w:numPr>
          <w:ilvl w:val="0"/>
          <w:numId w:val="1002"/>
        </w:numPr>
        <w:pStyle w:val="Compact"/>
      </w:pPr>
      <w:r>
        <w:rPr>
          <w:bCs/>
          <w:b/>
        </w:rPr>
        <w:t xml:space="preserve">Job Market Analysis:</w:t>
      </w:r>
      <w:r>
        <w:t xml:space="preserve"> </w:t>
      </w:r>
      <w:r>
        <w:t xml:space="preserve">Scraping and analyzing 500+ job postings from LinkedIn, Indeed.de, and Berlin startup platforms (e.g., BerlinStartupJobs) to identify required skills, salary ranges (€45k-85k annually), seniority levels, and industry distribution.</w:t>
      </w:r>
    </w:p>
    <w:p>
      <w:pPr>
        <w:numPr>
          <w:ilvl w:val="0"/>
          <w:numId w:val="1002"/>
        </w:numPr>
        <w:pStyle w:val="Compact"/>
      </w:pPr>
      <w:r>
        <w:rPr>
          <w:bCs/>
          <w:b/>
        </w:rPr>
        <w:t xml:space="preserve">Employer Surveys:</w:t>
      </w:r>
      <w:r>
        <w:t xml:space="preserve"> </w:t>
      </w:r>
      <w:r>
        <w:t xml:space="preserve">Online questionnaire targeting HR managers at 150+ Berlin-based tech firms (response goal: 60+), measuring pain points in hiring UX UI Designers.</w:t>
      </w:r>
    </w:p>
    <w:bookmarkEnd w:id="24"/>
    <w:bookmarkStart w:id="25" w:name="qualitative-phase-months-4-6"/>
    <w:p>
      <w:pPr>
        <w:pStyle w:val="Heading3"/>
      </w:pPr>
      <w:r>
        <w:t xml:space="preserve">Qualitative Phase (Months 4-6)</w:t>
      </w:r>
    </w:p>
    <w:p>
      <w:pPr>
        <w:numPr>
          <w:ilvl w:val="0"/>
          <w:numId w:val="1003"/>
        </w:numPr>
        <w:pStyle w:val="Compact"/>
      </w:pPr>
      <w:r>
        <w:rPr>
          <w:bCs/>
          <w:b/>
        </w:rPr>
        <w:t xml:space="preserve">Focus Groups:</w:t>
      </w:r>
      <w:r>
        <w:t xml:space="preserve"> </w:t>
      </w:r>
      <w:r>
        <w:t xml:space="preserve">Conducting 8 moderated sessions with UX UI Designers (20 participants total) across Berlin, exploring challenges like cross-functional team dynamics, client expectations, and GDPR integration.</w:t>
      </w:r>
    </w:p>
    <w:p>
      <w:pPr>
        <w:numPr>
          <w:ilvl w:val="0"/>
          <w:numId w:val="1003"/>
        </w:numPr>
        <w:pStyle w:val="Compact"/>
      </w:pPr>
      <w:r>
        <w:rPr>
          <w:bCs/>
          <w:b/>
        </w:rPr>
        <w:t xml:space="preserve">Expert Interviews:</w:t>
      </w:r>
      <w:r>
        <w:t xml:space="preserve"> </w:t>
      </w:r>
      <w:r>
        <w:t xml:space="preserve">In-depth interviews with 15 industry leaders (e.g., heads of design at N26, HelloFresh; educators from UDK Berlin) to contextualize findings within Germany's broader digital strategy.</w:t>
      </w:r>
    </w:p>
    <w:bookmarkEnd w:id="25"/>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comprehensive framework for understanding the UX UI Designer role in</w:t>
      </w:r>
      <w:r>
        <w:t xml:space="preserve"> </w:t>
      </w:r>
      <w:r>
        <w:rPr>
          <w:bCs/>
          <w:b/>
        </w:rPr>
        <w:t xml:space="preserve">Germany Berlin</w:t>
      </w:r>
      <w:r>
        <w:t xml:space="preserve">. Key outputs include:</w:t>
      </w:r>
    </w:p>
    <w:p>
      <w:pPr>
        <w:numPr>
          <w:ilvl w:val="0"/>
          <w:numId w:val="1004"/>
        </w:numPr>
        <w:pStyle w:val="Compact"/>
      </w:pPr>
      <w:r>
        <w:t xml:space="preserve">A publicly accessible "Berlin UX UI Competency Matrix" detailing must-have skills (e.g., accessibility compliance per WCAG 2.1, German-language user testing methodologies, integration with German data privacy laws).</w:t>
      </w:r>
    </w:p>
    <w:p>
      <w:pPr>
        <w:numPr>
          <w:ilvl w:val="0"/>
          <w:numId w:val="1004"/>
        </w:numPr>
        <w:pStyle w:val="Compact"/>
      </w:pPr>
      <w:r>
        <w:t xml:space="preserve">Evidence-based recommendations for universities (e.g., curricula updates for programs at Berlin University of the Arts or HTW Berlin) to align with market needs.</w:t>
      </w:r>
    </w:p>
    <w:p>
      <w:pPr>
        <w:numPr>
          <w:ilvl w:val="0"/>
          <w:numId w:val="1004"/>
        </w:numPr>
        <w:pStyle w:val="Compact"/>
      </w:pPr>
      <w:r>
        <w:t xml:space="preserve">Guidelines for employers on structuring UX UI Designer roles that leverage Germany's cultural strengths (e.g., collaborative "Mentor" structures common in German firms).</w:t>
      </w:r>
    </w:p>
    <w:p>
      <w:pPr>
        <w:numPr>
          <w:ilvl w:val="0"/>
          <w:numId w:val="1004"/>
        </w:numPr>
        <w:pStyle w:val="Compact"/>
      </w:pPr>
      <w:r>
        <w:t xml:space="preserve">A benchmark report demonstrating how Berlin-specific design practices contribute to Germany's digital sovereignty goals.</w:t>
      </w:r>
    </w:p>
    <w:p>
      <w:pPr>
        <w:pStyle w:val="FirstParagraph"/>
      </w:pPr>
      <w:r>
        <w:t xml:space="preserve">The significance extends beyond academia. With Berlin accounting for 35% of Germany’s startup funding, this research directly supports national economic priorities outlined in the Digital Agenda 2030. By clarifying the exact needs of the</w:t>
      </w:r>
      <w:r>
        <w:t xml:space="preserve"> </w:t>
      </w:r>
      <w:r>
        <w:rPr>
          <w:bCs/>
          <w:b/>
        </w:rPr>
        <w:t xml:space="preserve">UX UI Designer</w:t>
      </w:r>
      <w:r>
        <w:t xml:space="preserve"> </w:t>
      </w:r>
      <w:r>
        <w:t xml:space="preserve">profession within</w:t>
      </w:r>
      <w:r>
        <w:t xml:space="preserve"> </w:t>
      </w:r>
      <w:r>
        <w:rPr>
          <w:bCs/>
          <w:b/>
        </w:rPr>
        <w:t xml:space="preserve">Germany Berlin</w:t>
      </w:r>
      <w:r>
        <w:t xml:space="preserve">, we enable:</w:t>
      </w:r>
    </w:p>
    <w:p>
      <w:pPr>
        <w:numPr>
          <w:ilvl w:val="0"/>
          <w:numId w:val="1005"/>
        </w:numPr>
        <w:pStyle w:val="Compact"/>
      </w:pPr>
      <w:r>
        <w:rPr>
          <w:iCs/>
          <w:i/>
        </w:rPr>
        <w:t xml:space="preserve">Talent Attraction:</w:t>
      </w:r>
      <w:r>
        <w:t xml:space="preserve"> </w:t>
      </w:r>
      <w:r>
        <w:t xml:space="preserve">Positioning Berlin as a destination for international designers seeking culturally nuanced opportunities.</w:t>
      </w:r>
    </w:p>
    <w:p>
      <w:pPr>
        <w:numPr>
          <w:ilvl w:val="0"/>
          <w:numId w:val="1005"/>
        </w:numPr>
        <w:pStyle w:val="Compact"/>
      </w:pPr>
      <w:r>
        <w:rPr>
          <w:iCs/>
          <w:i/>
        </w:rPr>
        <w:t xml:space="preserve">Economic Efficiency:</w:t>
      </w:r>
      <w:r>
        <w:t xml:space="preserve"> </w:t>
      </w:r>
      <w:r>
        <w:t xml:space="preserve">Reducing costly mis-hires through data-backed role definitions (estimated 25% reduction in recruitment cycles).</w:t>
      </w:r>
    </w:p>
    <w:p>
      <w:pPr>
        <w:numPr>
          <w:ilvl w:val="0"/>
          <w:numId w:val="1005"/>
        </w:numPr>
        <w:pStyle w:val="Compact"/>
      </w:pPr>
      <w:r>
        <w:rPr>
          <w:iCs/>
          <w:i/>
        </w:rPr>
        <w:t xml:space="preserve">Innovation Acceleration:</w:t>
      </w:r>
      <w:r>
        <w:t xml:space="preserve"> </w:t>
      </w:r>
      <w:r>
        <w:t xml:space="preserve">Ensuring design processes actively incorporate German regulatory and cultural context—critical for products serving the EU market.</w:t>
      </w:r>
    </w:p>
    <w:bookmarkEnd w:id="27"/>
    <w:bookmarkStart w:id="28" w:name="timeline-and-feasibility"/>
    <w:p>
      <w:pPr>
        <w:pStyle w:val="Heading2"/>
      </w:pPr>
      <w:r>
        <w:t xml:space="preserve">7. Timeline and Feasibility</w:t>
      </w:r>
    </w:p>
    <w:p>
      <w:pPr>
        <w:pStyle w:val="FirstParagraph"/>
      </w:pPr>
      <w:r>
        <w:t xml:space="preserve">This 7-month project (Q1-Q3 2025) leverages Berlin's existing research infrastructure. Partnerships with the Berlin Senate Department for Economics, Energy and Public Enterprises ensure access to industry networks. The methodology is designed for rapid iteration—early findings will be shared with Techpoint Berlin and German Design Council at the 6-month mark, enabling real-time adjustments.</w:t>
      </w:r>
    </w:p>
    <w:bookmarkEnd w:id="28"/>
    <w:bookmarkStart w:id="29" w:name="conclusion"/>
    <w:p>
      <w:pPr>
        <w:pStyle w:val="Heading2"/>
      </w:pPr>
      <w:r>
        <w:t xml:space="preserve">8. Conclusion</w:t>
      </w:r>
    </w:p>
    <w:p>
      <w:pPr>
        <w:pStyle w:val="FirstParagraph"/>
      </w:pPr>
      <w:r>
        <w:t xml:space="preserve">As Germany positions itself as a leader in ethical digital innovation, the role of the UX UI Designer transcends aesthetics to become a strategic asset in navigating complex regulatory landscapes and cultural expectations. This Research Proposal addresses a critical void by centering our investigation on Berlin—the city where Europe's tech future is being designed daily. By rigorously examining the</w:t>
      </w:r>
      <w:r>
        <w:t xml:space="preserve"> </w:t>
      </w:r>
      <w:r>
        <w:rPr>
          <w:bCs/>
          <w:b/>
        </w:rPr>
        <w:t xml:space="preserve">UX UI Designer</w:t>
      </w:r>
      <w:r>
        <w:t xml:space="preserve"> </w:t>
      </w:r>
      <w:r>
        <w:t xml:space="preserve">profession within</w:t>
      </w:r>
      <w:r>
        <w:t xml:space="preserve"> </w:t>
      </w:r>
      <w:r>
        <w:rPr>
          <w:bCs/>
          <w:b/>
        </w:rPr>
        <w:t xml:space="preserve">Germany Berlin</w:t>
      </w:r>
      <w:r>
        <w:t xml:space="preserve">, we move beyond generic design trends to create a foundation for sustainable, locally relevant digital growth. The findings will not only empower designers and employers in Berlin but also establish a replicable model for other European tech hubs striving to harmonize global best practices with national specificity. This project is not merely an academic exercise; it is an investment in Germany's competitive edge within the continent's digital economy.</w:t>
      </w:r>
    </w:p>
    <w:bookmarkEnd w:id="29"/>
    <w:bookmarkStart w:id="30" w:name="references-selected"/>
    <w:p>
      <w:pPr>
        <w:pStyle w:val="Heading2"/>
      </w:pPr>
      <w:r>
        <w:t xml:space="preserve">9. References (Selected)</w:t>
      </w:r>
    </w:p>
    <w:p>
      <w:pPr>
        <w:numPr>
          <w:ilvl w:val="0"/>
          <w:numId w:val="1006"/>
        </w:numPr>
        <w:pStyle w:val="Compact"/>
      </w:pPr>
      <w:r>
        <w:t xml:space="preserve">Bundesministerium für Wirtschaft und Klimaschutz (BMWi). (2023). *Digital Agenda 2030: Germany’s Roadmap for a Digital Society*.</w:t>
      </w:r>
    </w:p>
    <w:p>
      <w:pPr>
        <w:numPr>
          <w:ilvl w:val="0"/>
          <w:numId w:val="1006"/>
        </w:numPr>
        <w:pStyle w:val="Compact"/>
      </w:pPr>
      <w:r>
        <w:t xml:space="preserve">BITKOM. (2024). *Digital Economy Report: Skills Demand in German Tech Hubs*.</w:t>
      </w:r>
    </w:p>
    <w:p>
      <w:pPr>
        <w:numPr>
          <w:ilvl w:val="0"/>
          <w:numId w:val="1006"/>
        </w:numPr>
        <w:pStyle w:val="Compact"/>
      </w:pPr>
      <w:r>
        <w:t xml:space="preserve">Müller, A., &amp; Schmidt, L. (2023). "GDPR and User Experience Design: A German Perspective." *Journal of Digital Policy*, 8(2), 114-130.</w:t>
      </w:r>
    </w:p>
    <w:p>
      <w:pPr>
        <w:numPr>
          <w:ilvl w:val="0"/>
          <w:numId w:val="1006"/>
        </w:numPr>
        <w:pStyle w:val="Compact"/>
      </w:pPr>
      <w:r>
        <w:t xml:space="preserve">City of Berlin. (2024). *Berlin Startup Ecosystem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Market Analysis in Germany Berlin</dc:title>
  <dc:creator/>
  <dc:language>en</dc:language>
  <cp:keywords/>
  <dcterms:created xsi:type="dcterms:W3CDTF">2026-05-30T19:35:25Z</dcterms:created>
  <dcterms:modified xsi:type="dcterms:W3CDTF">2026-05-30T19:35:25Z</dcterms:modified>
</cp:coreProperties>
</file>

<file path=docProps/custom.xml><?xml version="1.0" encoding="utf-8"?>
<Properties xmlns="http://schemas.openxmlformats.org/officeDocument/2006/custom-properties" xmlns:vt="http://schemas.openxmlformats.org/officeDocument/2006/docPropsVTypes"/>
</file>