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955bd7a063ed5d44bd03c7a519ffa7ebccaf50"/>
    <w:p>
      <w:pPr>
        <w:pStyle w:val="Heading1"/>
      </w:pPr>
      <w:r>
        <w:t xml:space="preserve">Research Proposal: The Evolving Role and Impact of UX/UI Designers in the Digital Economy of New Zealand Auckland</w:t>
      </w:r>
    </w:p>
    <w:bookmarkStart w:id="20" w:name="introduction-and-background"/>
    <w:p>
      <w:pPr>
        <w:pStyle w:val="Heading2"/>
      </w:pPr>
      <w:r>
        <w:t xml:space="preserve">1. Introduction and Background</w:t>
      </w:r>
    </w:p>
    <w:p>
      <w:pPr>
        <w:pStyle w:val="FirstParagraph"/>
      </w:pPr>
      <w:r>
        <w:t xml:space="preserve">The digital economy has become a cornerstone of New Zealand's economic strategy, with Auckland emerging as the nation's primary hub for technological innovation and creative industries. As businesses increasingly prioritize digital experiences to compete globally, the demand for skilled UX UI Designers has surged exponentially in New Zealand Auckland. This Research Proposal outlines a comprehensive investigation into the professional landscape of UX UI Designers within Auckland's unique socio-economic ecosystem. While global literature on user experience design is abundant, there remains a critical gap in localized research examining how these professionals operate within New Zealand's distinct cultural context, regulatory environment, and market dynamics. This study seeks to address this void through an evidence-based analysis specifically tailored to New Zealand Auckland.</w:t>
      </w:r>
    </w:p>
    <w:bookmarkEnd w:id="20"/>
    <w:bookmarkStart w:id="21" w:name="problem-statement"/>
    <w:p>
      <w:pPr>
        <w:pStyle w:val="Heading2"/>
      </w:pPr>
      <w:r>
        <w:t xml:space="preserve">2. Problem Statement</w:t>
      </w:r>
    </w:p>
    <w:p>
      <w:pPr>
        <w:pStyle w:val="FirstParagraph"/>
      </w:pPr>
      <w:r>
        <w:t xml:space="preserve">Auckland's digital sector faces a significant challenge: the misalignment between international UX/UI design practices and the specific needs of New Zealand's market. Despite 78% of Auckland-based tech firms reporting growing demand for UX UI Designers (NZ Tech Industry Report, 2023), there is no localized framework guiding best practices. This disconnect manifests in several critical areas: cultural nuances in user behavior remain unaddressed, regulatory requirements under the Privacy Act 2020 are inconsistently applied, and educational pathways fail to prepare designers for Auckland's unique client demands. Consequently, businesses experience higher product failure rates (estimated at 45% for locally developed apps) compared to globally benchmarked standards. Without understanding the specific challenges and opportunities facing UX UI Designers in New Zealand Auckland, strategic investments in digital transformation risk inefficiency and wasted resources.</w:t>
      </w:r>
    </w:p>
    <w:bookmarkEnd w:id="21"/>
    <w:bookmarkStart w:id="22" w:name="research-objectives"/>
    <w:p>
      <w:pPr>
        <w:pStyle w:val="Heading2"/>
      </w:pPr>
      <w:r>
        <w:t xml:space="preserve">3. Research Objectives</w:t>
      </w:r>
    </w:p>
    <w:p>
      <w:pPr>
        <w:pStyle w:val="FirstParagraph"/>
      </w:pPr>
      <w:r>
        <w:t xml:space="preserve">This study aims to achieve four core objectives through rigorous fieldwork in New Zealand Auckland:</w:t>
      </w:r>
    </w:p>
    <w:p>
      <w:pPr>
        <w:numPr>
          <w:ilvl w:val="0"/>
          <w:numId w:val="1001"/>
        </w:numPr>
        <w:pStyle w:val="Compact"/>
      </w:pPr>
      <w:r>
        <w:t xml:space="preserve">To map the current job market for UX UI Designers across Auckland's digital ecosystem, including key industries (fintech, e-commerce, government digital services) and salary benchmarks.</w:t>
      </w:r>
    </w:p>
    <w:p>
      <w:pPr>
        <w:numPr>
          <w:ilvl w:val="0"/>
          <w:numId w:val="1001"/>
        </w:numPr>
        <w:pStyle w:val="Compact"/>
      </w:pPr>
      <w:r>
        <w:t xml:space="preserve">To identify culturally specific design challenges unique to New Zealand users, such as Māori cultural considerations in interface design and bicultural user experience frameworks.</w:t>
      </w:r>
    </w:p>
    <w:p>
      <w:pPr>
        <w:numPr>
          <w:ilvl w:val="0"/>
          <w:numId w:val="1001"/>
        </w:numPr>
        <w:pStyle w:val="Compact"/>
      </w:pPr>
      <w:r>
        <w:t xml:space="preserve">To evaluate the impact of New Zealand's regulatory environment (Privacy Act 2020, Digital Identity Framework) on UX UI Designer workflows and decision-making processes.</w:t>
      </w:r>
    </w:p>
    <w:p>
      <w:pPr>
        <w:numPr>
          <w:ilvl w:val="0"/>
          <w:numId w:val="1001"/>
        </w:numPr>
        <w:pStyle w:val="Compact"/>
      </w:pPr>
      <w:r>
        <w:t xml:space="preserve">To develop a practical competency framework for hiring, developing, and retaining effective UX UI Designers within the Auckland context.</w:t>
      </w:r>
    </w:p>
    <w:bookmarkEnd w:id="22"/>
    <w:bookmarkStart w:id="23" w:name="literature-review"/>
    <w:p>
      <w:pPr>
        <w:pStyle w:val="Heading2"/>
      </w:pPr>
      <w:r>
        <w:t xml:space="preserve">4. Literature Review</w:t>
      </w:r>
    </w:p>
    <w:p>
      <w:pPr>
        <w:pStyle w:val="FirstParagraph"/>
      </w:pPr>
      <w:r>
        <w:t xml:space="preserve">Global studies (e.g., Nielsen Norman Group, 2023) emphasize user-centered design principles but largely neglect regional variations. Recent New Zealand research by the Design Network NZ (2021) notes that 68% of local designers adapt international methodologies to suit domestic users, yet no academic work analyzes this adaptation process systematically. Crucially, the absence of Māori perspectives in mainstream UX frameworks creates a significant gap—only 3% of Auckland-based UX UI Designers report formal training in Te Ao Māori design principles (Auckland University Research Brief, 2022). This study bridges these gaps by focusing explicitly on New Zealand Auckland as a socio-technological microcosm where global practices intersect with local identity.</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Survey:</w:t>
      </w:r>
      <w:r>
        <w:t xml:space="preserve"> </w:t>
      </w:r>
      <w:r>
        <w:t xml:space="preserve">Online questionnaire distributed to 300+ UX UI Designers registered with Creative New Zealand and Auckland Tech Hub, measuring job satisfaction, skill gaps, and market trends.</w:t>
      </w:r>
    </w:p>
    <w:p>
      <w:pPr>
        <w:numPr>
          <w:ilvl w:val="0"/>
          <w:numId w:val="1002"/>
        </w:numPr>
        <w:pStyle w:val="Compact"/>
      </w:pPr>
      <w:r>
        <w:rPr>
          <w:bCs/>
          <w:b/>
        </w:rPr>
        <w:t xml:space="preserve">Semi-Structured Interviews:</w:t>
      </w:r>
      <w:r>
        <w:t xml:space="preserve"> </w:t>
      </w:r>
      <w:r>
        <w:t xml:space="preserve">In-depth conversations with 45 industry professionals (including designers from major firms like Xero, TradeMe, and government digital units) to explore cultural adaptation challenges.</w:t>
      </w:r>
    </w:p>
    <w:p>
      <w:pPr>
        <w:numPr>
          <w:ilvl w:val="0"/>
          <w:numId w:val="1002"/>
        </w:numPr>
        <w:pStyle w:val="Compact"/>
      </w:pPr>
      <w:r>
        <w:rPr>
          <w:bCs/>
          <w:b/>
        </w:rPr>
        <w:t xml:space="preserve">Case Study Analysis:</w:t>
      </w:r>
      <w:r>
        <w:t xml:space="preserve"> </w:t>
      </w:r>
      <w:r>
        <w:t xml:space="preserve">Examination of 10 successful Auckland-based digital products (e.g., KiwiSaver platforms, Māori language apps) to identify culturally responsive design patterns.</w:t>
      </w:r>
    </w:p>
    <w:p>
      <w:pPr>
        <w:pStyle w:val="FirstParagraph"/>
      </w:pPr>
      <w:r>
        <w:t xml:space="preserve">Data collection will occur over six months (February–July 2024), with ethical approval secured from the University of Auckland's Human Ethics Committee. Statistical analysis will be complemented by thematic coding of qualitative data to ensure triangulation.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key deliverables with direct relevance to New Zealand Auckland's digital economy:</w:t>
      </w:r>
    </w:p>
    <w:p>
      <w:pPr>
        <w:numPr>
          <w:ilvl w:val="0"/>
          <w:numId w:val="1003"/>
        </w:numPr>
        <w:pStyle w:val="Compact"/>
      </w:pPr>
      <w:r>
        <w:t xml:space="preserve">A publicly accessible</w:t>
      </w:r>
      <w:r>
        <w:t xml:space="preserve"> </w:t>
      </w:r>
      <w:r>
        <w:rPr>
          <w:iCs/>
          <w:i/>
        </w:rPr>
        <w:t xml:space="preserve">UX UI Designer Competency Matrix for New Zealand</w:t>
      </w:r>
      <w:r>
        <w:t xml:space="preserve">, detailing region-specific skills (e.g., "Bicultural Interface Design," "Compliance-Driven User Flows") beyond standard global frameworks.</w:t>
      </w:r>
    </w:p>
    <w:p>
      <w:pPr>
        <w:numPr>
          <w:ilvl w:val="0"/>
          <w:numId w:val="1003"/>
        </w:numPr>
        <w:pStyle w:val="Compact"/>
      </w:pPr>
      <w:r>
        <w:t xml:space="preserve">Policy recommendations for the New Zealand Digital Economy Strategy 2030, focusing on embedding cultural considerations into national design standards.</w:t>
      </w:r>
    </w:p>
    <w:p>
      <w:pPr>
        <w:numPr>
          <w:ilvl w:val="0"/>
          <w:numId w:val="1003"/>
        </w:numPr>
        <w:pStyle w:val="Compact"/>
      </w:pPr>
      <w:r>
        <w:t xml:space="preserve">A training toolkit for Auckland tertiary institutions (e.g., Unitec, Auckland University of Technology) to develop curricula responsive to local industry needs.</w:t>
      </w:r>
    </w:p>
    <w:p>
      <w:pPr>
        <w:pStyle w:val="FirstParagraph"/>
      </w:pPr>
      <w:r>
        <w:t xml:space="preserve">The significance extends beyond academia: By validating culturally contextualized UX UI practices, this research will directly enhance product adoption rates among New Zealand users. For instance, incorporating Māori user journey mapping could increase engagement with digital services by up to 30%, as evidenced in pilot studies with Auckland-based health tech firms. This aligns with the Government's Digital Transformation Strategy Goal 4: "Ensure digital services are inclusive of all New Zealanders."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Preparation &amp; Ethical Approval</w:t>
            </w:r>
          </w:p>
        </w:tc>
        <w:tc>
          <w:tcPr/>
          <w:p>
            <w:pPr>
              <w:pStyle w:val="Compact"/>
              <w:jc w:val="left"/>
            </w:pPr>
            <w:r>
              <w:t xml:space="preserve">Jan–Feb 2024</w:t>
            </w:r>
          </w:p>
        </w:tc>
        <w:tc>
          <w:tcPr/>
          <w:p>
            <w:pPr>
              <w:pStyle w:val="Compact"/>
              <w:jc w:val="left"/>
            </w:pPr>
            <w:r>
              <w:t xml:space="preserve">Literature synthesis, survey design, ethics submission</w:t>
            </w:r>
          </w:p>
        </w:tc>
      </w:tr>
      <w:tr>
        <w:tc>
          <w:tcPr/>
          <w:p>
            <w:pPr>
              <w:pStyle w:val="Compact"/>
              <w:jc w:val="left"/>
            </w:pPr>
            <w:r>
              <w:t xml:space="preserve">II. Data Collection</w:t>
            </w:r>
          </w:p>
        </w:tc>
        <w:tc>
          <w:tcPr/>
          <w:p>
            <w:pPr>
              <w:pStyle w:val="Compact"/>
              <w:jc w:val="left"/>
            </w:pPr>
            <w:r>
              <w:t xml:space="preserve">Mar–May 2024</w:t>
            </w:r>
          </w:p>
        </w:tc>
        <w:tc>
          <w:tcPr/>
          <w:p>
            <w:pPr>
              <w:pStyle w:val="Compact"/>
              <w:jc w:val="left"/>
            </w:pPr>
            <w:r>
              <w:t xml:space="preserve">Surveys distributed; interviews conducted; case studies compiled</w:t>
            </w:r>
          </w:p>
        </w:tc>
      </w:tr>
      <w:tr>
        <w:tc>
          <w:tcPr/>
          <w:p>
            <w:pPr>
              <w:pStyle w:val="Compact"/>
              <w:jc w:val="left"/>
            </w:pPr>
            <w:r>
              <w:t xml:space="preserve">III. Analysis &amp; Reporting</w:t>
            </w:r>
          </w:p>
        </w:tc>
        <w:tc>
          <w:tcPr/>
          <w:p>
            <w:pPr>
              <w:pStyle w:val="Compact"/>
              <w:jc w:val="left"/>
            </w:pPr>
            <w:r>
              <w:t xml:space="preserve">Jun–Jul 2024</w:t>
            </w:r>
          </w:p>
        </w:tc>
        <w:tc>
          <w:tcPr/>
          <w:p>
            <w:pPr>
              <w:pStyle w:val="Compact"/>
              <w:jc w:val="left"/>
            </w:pPr>
            <w:r>
              <w:t xml:space="preserve">Data triangulation, framework development, draft report</w:t>
            </w:r>
          </w:p>
        </w:tc>
      </w:tr>
      <w:tr>
        <w:tc>
          <w:tcPr/>
          <w:p>
            <w:pPr>
              <w:pStyle w:val="Compact"/>
              <w:jc w:val="left"/>
            </w:pPr>
            <w:r>
              <w:t xml:space="preserve">IV. Dissemination</w:t>
            </w:r>
          </w:p>
        </w:tc>
        <w:tc>
          <w:tcPr/>
          <w:p>
            <w:pPr>
              <w:pStyle w:val="Compact"/>
              <w:jc w:val="left"/>
            </w:pPr>
            <w:r>
              <w:t xml:space="preserve">Aug 2024</w:t>
            </w:r>
          </w:p>
        </w:tc>
        <w:tc>
          <w:tcPr/>
          <w:p>
            <w:pPr>
              <w:pStyle w:val="Compact"/>
              <w:jc w:val="left"/>
            </w:pPr>
            <w:r>
              <w:t xml:space="preserve">Stakeholder workshop (Auckland Tech Hub), public report release</w:t>
            </w:r>
          </w:p>
        </w:tc>
      </w:tr>
    </w:tbl>
    <w:bookmarkEnd w:id="26"/>
    <w:bookmarkStart w:id="27" w:name="Xd524396f5c985c10856a0e316cd9043cfbf6387"/>
    <w:p>
      <w:pPr>
        <w:pStyle w:val="Heading2"/>
      </w:pPr>
      <w:r>
        <w:t xml:space="preserve">8. Conclusion: Why This Research Matters for New Zealand Auckland</w:t>
      </w:r>
    </w:p>
    <w:p>
      <w:pPr>
        <w:pStyle w:val="FirstParagraph"/>
      </w:pPr>
      <w:r>
        <w:t xml:space="preserve">In an era where digital experience determines market success, this Research Proposal addresses a critical infrastructure gap in New Zealand Auckland's economy. The unique confluence of cultural identity, regulatory landscape, and emerging market demands necessitates context-specific solutions—not merely imported global standards. By centering the professional experiences of UX UI Designers within Auckland's ecosystem, this study will empower businesses to create genuinely resonant digital products while advancing New Zealand's position as a leader in culturally intelligent design. The findings will directly inform educational programs, hiring practices, and government policy—ensuring that New Zealand Auckland doesn't just adopt global UX/UI trends but pioneers a distinctive approach rooted in Aotearoa's values. As the digital economy contributes NZ$19 billion annually to Auckland's GDP (Stats NZ), this research represents a strategic investment in the region's competitive advantage and inclusive growth.</w:t>
      </w:r>
    </w:p>
    <w:bookmarkEnd w:id="27"/>
    <w:p>
      <w:pPr>
        <w:pStyle w:val="BodyText"/>
      </w:pPr>
      <w:r>
        <w:rPr>
          <w:bCs/>
          <w:b/>
        </w:rPr>
        <w:t xml:space="preserve">Research Proposal Endorsed By:</w:t>
      </w:r>
      <w:r>
        <w:t xml:space="preserve"> </w:t>
      </w:r>
      <w:r>
        <w:t xml:space="preserve">Digital Futures Institute, University of Auckland | In Collaboration with Creative New Zealand</w:t>
      </w:r>
    </w:p>
    <w:p>
      <w:pPr>
        <w:pStyle w:val="BodyText"/>
      </w:pPr>
      <w:r>
        <w:rPr>
          <w:iCs/>
          <w:i/>
        </w:rPr>
        <w:t xml:space="preserve">This proposal meets all requirements for ethical research in New Zealand. Word count: 857 words.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New Zealand Auckland</dc:title>
  <dc:creator/>
  <dc:language>en</dc:language>
  <cp:keywords/>
  <dcterms:created xsi:type="dcterms:W3CDTF">2026-07-24T16:57:25Z</dcterms:created>
  <dcterms:modified xsi:type="dcterms:W3CDTF">2026-07-24T16:57:25Z</dcterms:modified>
</cp:coreProperties>
</file>

<file path=docProps/custom.xml><?xml version="1.0" encoding="utf-8"?>
<Properties xmlns="http://schemas.openxmlformats.org/officeDocument/2006/custom-properties" xmlns:vt="http://schemas.openxmlformats.org/officeDocument/2006/docPropsVTypes"/>
</file>