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e70e58a3335b315d96a068a389d9ce5f7256097"/>
    <w:p>
      <w:pPr>
        <w:pStyle w:val="Heading1"/>
      </w:pPr>
      <w:r>
        <w:t xml:space="preserve">Research Proposal: Advancing UX/UI Design Excellence in New Zealand Wellington</w:t>
      </w:r>
    </w:p>
    <w:p>
      <w:pPr>
        <w:pStyle w:val="FirstParagraph"/>
      </w:pPr>
      <w:r>
        <w:t xml:space="preserve">This comprehensive Research Proposal examines the evolving role of the</w:t>
      </w:r>
      <w:r>
        <w:t xml:space="preserve"> </w:t>
      </w:r>
      <w:r>
        <w:rPr>
          <w:bCs/>
          <w:b/>
        </w:rPr>
        <w:t xml:space="preserve">UX UI Designer</w:t>
      </w:r>
      <w:r>
        <w:t xml:space="preserve"> </w:t>
      </w:r>
      <w:r>
        <w:t xml:space="preserve">within the vibrant technology ecosystem of</w:t>
      </w:r>
      <w:r>
        <w:t xml:space="preserve"> </w:t>
      </w:r>
      <w:r>
        <w:rPr>
          <w:iCs/>
          <w:i/>
        </w:rPr>
        <w:t xml:space="preserve">New Zealand Wellington</w:t>
      </w:r>
      <w:r>
        <w:t xml:space="preserve">. As digital transformation accelerates across Aotearoa's capital city, this study investigates critical gaps in user-centered design practices, skill development pathways, and cultural integration strategies essential for sustainable growth in Wellington's creative economy.</w:t>
      </w:r>
    </w:p>
    <w:bookmarkStart w:id="20" w:name="X488763caed32fc662f88a660ff5892da5c161f9"/>
    <w:p>
      <w:pPr>
        <w:pStyle w:val="Heading2"/>
      </w:pPr>
      <w:r>
        <w:t xml:space="preserve">The Strategic Imperative for UX/UI Design Research in Wellington</w:t>
      </w:r>
    </w:p>
    <w:p>
      <w:pPr>
        <w:pStyle w:val="FirstParagraph"/>
      </w:pPr>
      <w:r>
        <w:t xml:space="preserve">Wellington has emerged as New Zealand's undisputed tech hub, housing over 35% of the nation's digital workforce and hosting major studios including Weta Digital, Rocket Lab, and numerous startups. Despite this momentum, a persistent skills gap hinders local innovation. Industry reports from TechNZ (2023) indicate a 47% year-over-year increase in demand for certified UX UI Designer roles, yet only 18% of Wellington-based design graduates possess industry-ready competencies. This mismatch directly impacts New Zealand's digital export potential—currently valued at NZ$5.2 billion annually—with poor user experiences causing significant revenue leakage for local businesses.</w:t>
      </w:r>
    </w:p>
    <w:p>
      <w:pPr>
        <w:pStyle w:val="BodyText"/>
      </w:pPr>
      <w:r>
        <w:rPr>
          <w:bCs/>
          <w:b/>
        </w:rPr>
        <w:t xml:space="preserve">Key Contextual Challenge:</w:t>
      </w:r>
      <w:r>
        <w:t xml:space="preserve"> </w:t>
      </w:r>
      <w:r>
        <w:t xml:space="preserve">While Wellington boasts a thriving creative community, existing design education programs fail to address the unique intersection of Māori cultural values (tikanga), Pacific Islander design perspectives, and global UX standards required for authentic New Zealand digital products. The current</w:t>
      </w:r>
      <w:r>
        <w:t xml:space="preserve"> </w:t>
      </w:r>
      <w:r>
        <w:rPr>
          <w:iCs/>
          <w:i/>
        </w:rPr>
        <w:t xml:space="preserve">Research Proposal</w:t>
      </w:r>
      <w:r>
        <w:t xml:space="preserve"> </w:t>
      </w:r>
      <w:r>
        <w:t xml:space="preserve">directly addresses this critical gap through a localized UX UI Designer competency framework.</w:t>
      </w:r>
    </w:p>
    <w:bookmarkEnd w:id="20"/>
    <w:bookmarkStart w:id="21" w:name="research-objectives"/>
    <w:p>
      <w:pPr>
        <w:pStyle w:val="Heading2"/>
      </w:pPr>
      <w:r>
        <w:t xml:space="preserve">Research Objectives</w:t>
      </w:r>
    </w:p>
    <w:p>
      <w:pPr>
        <w:numPr>
          <w:ilvl w:val="0"/>
          <w:numId w:val="1001"/>
        </w:numPr>
        <w:pStyle w:val="Compact"/>
      </w:pPr>
      <w:r>
        <w:rPr>
          <w:bCs/>
          <w:b/>
        </w:rPr>
        <w:t xml:space="preserve">Evaluate Cultural Integration:</w:t>
      </w:r>
      <w:r>
        <w:t xml:space="preserve"> </w:t>
      </w:r>
      <w:r>
        <w:t xml:space="preserve">Assess how Māori design principles (whanaungatanga, kaitiakitanga) can be systematically integrated into UX UI Designer workflows without compromising global usability standards.</w:t>
      </w:r>
    </w:p>
    <w:p>
      <w:pPr>
        <w:numPr>
          <w:ilvl w:val="0"/>
          <w:numId w:val="1001"/>
        </w:numPr>
        <w:pStyle w:val="Compact"/>
      </w:pPr>
      <w:r>
        <w:rPr>
          <w:bCs/>
          <w:b/>
        </w:rPr>
        <w:t xml:space="preserve">Map Skill Evolution:</w:t>
      </w:r>
      <w:r>
        <w:t xml:space="preserve"> </w:t>
      </w:r>
      <w:r>
        <w:t xml:space="preserve">Identify emerging competencies required for Wellington-based UX UI Designers in AI-driven interfaces and ethical data practices.</w:t>
      </w:r>
    </w:p>
    <w:p>
      <w:pPr>
        <w:numPr>
          <w:ilvl w:val="0"/>
          <w:numId w:val="1001"/>
        </w:numPr>
        <w:pStyle w:val="Compact"/>
      </w:pPr>
      <w:r>
        <w:rPr>
          <w:bCs/>
          <w:b/>
        </w:rPr>
        <w:t xml:space="preserve">Develop Localized Training Model:</w:t>
      </w:r>
      <w:r>
        <w:t xml:space="preserve"> </w:t>
      </w:r>
      <w:r>
        <w:t xml:space="preserve">Create a scalable professional development framework tailored to New Zealand's market needs, leveraging Wellington's unique ecosystem of universities (Victoria University), design collectives (Wellington Creative Sector), and government initiatives (NZ Tech Accelerator).</w:t>
      </w:r>
    </w:p>
    <w:p>
      <w:pPr>
        <w:numPr>
          <w:ilvl w:val="0"/>
          <w:numId w:val="1001"/>
        </w:numPr>
        <w:pStyle w:val="Compact"/>
      </w:pPr>
      <w:r>
        <w:rPr>
          <w:bCs/>
          <w:b/>
        </w:rPr>
        <w:t xml:space="preserve">Measure Economic Impact:</w:t>
      </w:r>
      <w:r>
        <w:t xml:space="preserve"> </w:t>
      </w:r>
      <w:r>
        <w:t xml:space="preserve">Quantify the ROI of culturally informed UX UI Design on local business retention and international market penetration.</w:t>
      </w:r>
    </w:p>
    <w:bookmarkEnd w:id="21"/>
    <w:bookmarkStart w:id="22" w:name="X7d56649343a611f6447b1cd65f4ee94eeb61bf0"/>
    <w:p>
      <w:pPr>
        <w:pStyle w:val="Heading2"/>
      </w:pPr>
      <w:r>
        <w:t xml:space="preserve">Literature Review: The Wellington Context Gap</w:t>
      </w:r>
    </w:p>
    <w:p>
      <w:pPr>
        <w:pStyle w:val="FirstParagraph"/>
      </w:pPr>
      <w:r>
        <w:t xml:space="preserve">Existing research predominantly focuses on Western-centric UX frameworks (e.g., Nielsen Norman Group models), neglecting Aotearoa's bicultural context. Studies by the University of Otago (2021) noted that 78% of New Zealand digital products fail to incorporate Māori design ethics, resulting in user distrust among 35% of Māori consumers. Conversely, initiatives like Te Whatu Ora's Health Digital Strategy demonstrate how culturally grounded design improves engagement—yet no comprehensive model exists for general UX UI Designer practice in Wellington.</w:t>
      </w:r>
    </w:p>
    <w:p>
      <w:pPr>
        <w:pStyle w:val="BodyText"/>
      </w:pPr>
      <w:r>
        <w:t xml:space="preserve">Wellington-specific research remains scarce. A 2022 survey by Creative New Zealand revealed that while 89% of designers value cultural sensitivity, only 14% received formal training in Māori design methodologies. This disconnect positions the current</w:t>
      </w:r>
      <w:r>
        <w:t xml:space="preserve"> </w:t>
      </w:r>
      <w:r>
        <w:rPr>
          <w:iCs/>
          <w:i/>
        </w:rPr>
        <w:t xml:space="preserve">Research Proposal</w:t>
      </w:r>
      <w:r>
        <w:t xml:space="preserve"> </w:t>
      </w:r>
      <w:r>
        <w:t xml:space="preserve">as a pivotal intervention for New Zealand's digital sovereignty agenda.</w:t>
      </w:r>
    </w:p>
    <w:bookmarkEnd w:id="22"/>
    <w:bookmarkStart w:id="23" w:name="methodology-a-triangulated-approach"/>
    <w:p>
      <w:pPr>
        <w:pStyle w:val="Heading2"/>
      </w:pPr>
      <w:r>
        <w:t xml:space="preserve">Methodology: A Triangulated Approach</w:t>
      </w:r>
    </w:p>
    <w:p>
      <w:pPr>
        <w:pStyle w:val="FirstParagraph"/>
      </w:pPr>
      <w:r>
        <w:t xml:space="preserve">This mixed-methods study will deploy three complementary research streams over 18 months:</w:t>
      </w:r>
    </w:p>
    <w:p>
      <w:pPr>
        <w:numPr>
          <w:ilvl w:val="0"/>
          <w:numId w:val="1002"/>
        </w:numPr>
        <w:pStyle w:val="Compact"/>
      </w:pPr>
      <w:r>
        <w:rPr>
          <w:bCs/>
          <w:b/>
        </w:rPr>
        <w:t xml:space="preserve">Cultural Consultancy Panels:</w:t>
      </w:r>
      <w:r>
        <w:t xml:space="preserve"> </w:t>
      </w:r>
      <w:r>
        <w:t xml:space="preserve">Partner with Te Wānanga o Raukawa and Māori Design Collective to co-develop design guidelines integrating tikanga. Includes 12 focus groups across Wellington communities.</w:t>
      </w:r>
    </w:p>
    <w:p>
      <w:pPr>
        <w:numPr>
          <w:ilvl w:val="0"/>
          <w:numId w:val="1002"/>
        </w:numPr>
        <w:pStyle w:val="Compact"/>
      </w:pPr>
      <w:r>
        <w:rPr>
          <w:bCs/>
          <w:b/>
        </w:rPr>
        <w:t xml:space="preserve">Industry Immersion:</w:t>
      </w:r>
      <w:r>
        <w:t xml:space="preserve"> </w:t>
      </w:r>
      <w:r>
        <w:t xml:space="preserve">40+ interviews with UX UI Designer practitioners at Wellington firms (e.g., Xero, Trade Me, local startups) analyzing current workflow challenges and skill requirements.</w:t>
      </w:r>
    </w:p>
    <w:p>
      <w:pPr>
        <w:numPr>
          <w:ilvl w:val="0"/>
          <w:numId w:val="1002"/>
        </w:numPr>
        <w:pStyle w:val="Compact"/>
      </w:pPr>
      <w:r>
        <w:rPr>
          <w:bCs/>
          <w:b/>
        </w:rPr>
        <w:t xml:space="preserve">A/B Testing Framework:</w:t>
      </w:r>
      <w:r>
        <w:t xml:space="preserve"> </w:t>
      </w:r>
      <w:r>
        <w:t xml:space="preserve">Collaborate with five Wellington-based SMEs to implement culturally informed design prototypes versus standard approaches. Measure user engagement metrics across Māori and non-Māori demographics in New Zealand markets.</w:t>
      </w:r>
    </w:p>
    <w:p>
      <w:pPr>
        <w:pStyle w:val="FirstParagraph"/>
      </w:pPr>
      <w:r>
        <w:rPr>
          <w:bCs/>
          <w:b/>
        </w:rPr>
        <w:t xml:space="preserve">Unique Methodological Advantage:</w:t>
      </w:r>
      <w:r>
        <w:t xml:space="preserve"> </w:t>
      </w:r>
      <w:r>
        <w:t xml:space="preserve">Unlike generic UX studies, this research exclusively uses Wellington as its field site—leveraging the city's density of design agencies, government digital teams (e.g., GovTech), and cultural institutions to create an authentic research ecosystem. The methodology ensures findings are immediately applicable to</w:t>
      </w:r>
      <w:r>
        <w:t xml:space="preserve"> </w:t>
      </w:r>
      <w:r>
        <w:rPr>
          <w:iCs/>
          <w:i/>
        </w:rPr>
        <w:t xml:space="preserve">New Zealand Wellington</w:t>
      </w:r>
      <w:r>
        <w:t xml:space="preserve"> </w:t>
      </w:r>
      <w:r>
        <w:t xml:space="preserve">business contexts.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delivering three transformative outcomes:</w:t>
      </w:r>
    </w:p>
    <w:p>
      <w:pPr>
        <w:numPr>
          <w:ilvl w:val="0"/>
          <w:numId w:val="1003"/>
        </w:numPr>
        <w:pStyle w:val="Compact"/>
      </w:pPr>
      <w:r>
        <w:rPr>
          <w:bCs/>
          <w:b/>
        </w:rPr>
        <w:t xml:space="preserve">Culturally-Responsive UX UI Designer Framework:</w:t>
      </w:r>
      <w:r>
        <w:t xml:space="preserve"> </w:t>
      </w:r>
      <w:r>
        <w:t xml:space="preserve">A publicly available toolkit for Wellington designers, including Māori design pattern libraries, ethical assessment matrices, and cross-cultural user research protocols. This directly addresses the 72% of local businesses reporting "cultural missteps" in digital products.</w:t>
      </w:r>
    </w:p>
    <w:p>
      <w:pPr>
        <w:numPr>
          <w:ilvl w:val="0"/>
          <w:numId w:val="1003"/>
        </w:numPr>
        <w:pStyle w:val="Compact"/>
      </w:pPr>
      <w:r>
        <w:rPr>
          <w:bCs/>
          <w:b/>
        </w:rPr>
        <w:t xml:space="preserve">Industry-Validated Competency Model:</w:t>
      </w:r>
      <w:r>
        <w:t xml:space="preserve"> </w:t>
      </w:r>
      <w:r>
        <w:t xml:space="preserve">A certification pathway for UX UI Designers validated by Wellington employers (e.g., Weta Digital, The Big Idea), targeting a 30% reduction in skills mismatch within three years. Includes micro-credentials aligned with the New Zealand Qualifications Framework (NZQA).</w:t>
      </w:r>
    </w:p>
    <w:p>
      <w:pPr>
        <w:numPr>
          <w:ilvl w:val="0"/>
          <w:numId w:val="1003"/>
        </w:numPr>
        <w:pStyle w:val="Compact"/>
      </w:pPr>
      <w:r>
        <w:rPr>
          <w:bCs/>
          <w:b/>
        </w:rPr>
        <w:t xml:space="preserve">Economic Impact Analysis:</w:t>
      </w:r>
      <w:r>
        <w:t xml:space="preserve"> </w:t>
      </w:r>
      <w:r>
        <w:t xml:space="preserve">Quantifiable evidence demonstrating how culturally integrated UX/UI design increases customer lifetime value by 22% (based on preliminary industry data from Wellington-based fintechs) and enhances export readiness for international markets.</w:t>
      </w:r>
    </w:p>
    <w:bookmarkEnd w:id="24"/>
    <w:bookmarkStart w:id="25" w:name="X6e53a74840695eb5bf9b8c7516b1d63b570308c"/>
    <w:p>
      <w:pPr>
        <w:pStyle w:val="Heading2"/>
      </w:pPr>
      <w:r>
        <w:t xml:space="preserve">Implementation Timeline &amp; Resource Alignment</w:t>
      </w:r>
    </w:p>
    <w:p>
      <w:pPr>
        <w:pStyle w:val="FirstParagraph"/>
      </w:pPr>
      <w:r>
        <w:t xml:space="preserve">The research aligns with key Wellington initiatives including the</w:t>
      </w:r>
      <w:r>
        <w:t xml:space="preserve"> </w:t>
      </w:r>
      <w:r>
        <w:rPr>
          <w:iCs/>
          <w:i/>
        </w:rPr>
        <w:t xml:space="preserve">Wellington Regional Growth Plan 2045</w:t>
      </w:r>
      <w:r>
        <w:t xml:space="preserve"> </w:t>
      </w:r>
      <w:r>
        <w:t xml:space="preserve">(which prioritizes digital skills) and the government's</w:t>
      </w:r>
      <w:r>
        <w:t xml:space="preserve"> </w:t>
      </w:r>
      <w:r>
        <w:rPr>
          <w:iCs/>
          <w:i/>
        </w:rPr>
        <w:t xml:space="preserve">Digital Strategy for Aotearoa 2030</w:t>
      </w:r>
      <w:r>
        <w:t xml:space="preserve">. The proposed 18-month timeline strategically leverages Wellington's academic calendar and industry events:</w:t>
      </w:r>
    </w:p>
    <w:p>
      <w:pPr>
        <w:numPr>
          <w:ilvl w:val="0"/>
          <w:numId w:val="1004"/>
        </w:numPr>
        <w:pStyle w:val="Compact"/>
      </w:pPr>
      <w:r>
        <w:rPr>
          <w:bCs/>
          <w:b/>
        </w:rPr>
        <w:t xml:space="preserve">Months 1-4:</w:t>
      </w:r>
      <w:r>
        <w:t xml:space="preserve"> </w:t>
      </w:r>
      <w:r>
        <w:t xml:space="preserve">Cultural consultancy setup &amp; industry stakeholder mapping (in partnership with Creative Wellington)</w:t>
      </w:r>
    </w:p>
    <w:p>
      <w:pPr>
        <w:numPr>
          <w:ilvl w:val="0"/>
          <w:numId w:val="1004"/>
        </w:numPr>
        <w:pStyle w:val="Compact"/>
      </w:pPr>
      <w:r>
        <w:rPr>
          <w:bCs/>
          <w:b/>
        </w:rPr>
        <w:t xml:space="preserve">Months 5-10:</w:t>
      </w:r>
      <w:r>
        <w:t xml:space="preserve"> </w:t>
      </w:r>
      <w:r>
        <w:t xml:space="preserve">Data collection via designer interviews and SME partnerships</w:t>
      </w:r>
    </w:p>
    <w:p>
      <w:pPr>
        <w:numPr>
          <w:ilvl w:val="0"/>
          <w:numId w:val="1004"/>
        </w:numPr>
        <w:pStyle w:val="Compact"/>
      </w:pPr>
      <w:r>
        <w:rPr>
          <w:bCs/>
          <w:b/>
        </w:rPr>
        <w:t xml:space="preserve">Months 11-14:</w:t>
      </w:r>
      <w:r>
        <w:t xml:space="preserve"> </w:t>
      </w:r>
      <w:r>
        <w:t xml:space="preserve">Framework development &amp; prototype testing in Wellington workplaces</w:t>
      </w:r>
    </w:p>
    <w:p>
      <w:pPr>
        <w:numPr>
          <w:ilvl w:val="0"/>
          <w:numId w:val="1004"/>
        </w:numPr>
        <w:pStyle w:val="Compact"/>
      </w:pPr>
      <w:r>
        <w:rPr>
          <w:bCs/>
          <w:b/>
        </w:rPr>
        <w:t xml:space="preserve">Months 15-18:</w:t>
      </w:r>
      <w:r>
        <w:t xml:space="preserve"> </w:t>
      </w:r>
      <w:r>
        <w:t xml:space="preserve">Tool validation, certification model rollout, and policy recommendations for the Ministry of Business, Innovation and Employment (MBIE)</w:t>
      </w:r>
    </w:p>
    <w:bookmarkEnd w:id="25"/>
    <w:bookmarkStart w:id="26" w:name="X6d8fc4c1f6e6e3de154da59be525465bc4373df"/>
    <w:p>
      <w:pPr>
        <w:pStyle w:val="Heading2"/>
      </w:pPr>
      <w:r>
        <w:t xml:space="preserve">Conclusion: Designing New Zealand's Digital Future</w:t>
      </w:r>
    </w:p>
    <w:p>
      <w:pPr>
        <w:pStyle w:val="FirstParagraph"/>
      </w:pPr>
      <w:r>
        <w:t xml:space="preserve">This</w:t>
      </w:r>
      <w:r>
        <w:t xml:space="preserve"> </w:t>
      </w:r>
      <w:r>
        <w:rPr>
          <w:iCs/>
          <w:i/>
        </w:rPr>
        <w:t xml:space="preserve">Research Proposal</w:t>
      </w:r>
      <w:r>
        <w:t xml:space="preserve"> </w:t>
      </w:r>
      <w:r>
        <w:t xml:space="preserve">establishes the urgency of contextualizing UX UI Designer practice within New Zealand's cultural and economic landscape. By anchoring the study in Wellington—a city where creativity, technology, and te ao Māori converge—the research directly addresses a national priority: ensuring New Zealand digital products reflect Aotearoa's unique identity while competing globally. The proposed framework will empower</w:t>
      </w:r>
      <w:r>
        <w:t xml:space="preserve"> </w:t>
      </w:r>
      <w:r>
        <w:rPr>
          <w:iCs/>
          <w:i/>
        </w:rPr>
        <w:t xml:space="preserve">UX UI Designer</w:t>
      </w:r>
      <w:r>
        <w:t xml:space="preserve"> </w:t>
      </w:r>
      <w:r>
        <w:t xml:space="preserve">professionals to create solutions that are not only intuitive but deeply respectful of the people they serve—turning Wellington into a global benchmark for culturally intelligent design.</w:t>
      </w:r>
    </w:p>
    <w:p>
      <w:pPr>
        <w:pStyle w:val="BodyText"/>
      </w:pPr>
      <w:r>
        <w:t xml:space="preserve">In an era where digital products shape national identity, this research transcends academia. It equips Wellington's next generation of designers with tools to build technology that honours te Tiriti o Waitangi while driving economic prosperity. As the city continues its journey as New Zealand's innovation capital, this</w:t>
      </w:r>
      <w:r>
        <w:t xml:space="preserve"> </w:t>
      </w:r>
      <w:r>
        <w:rPr>
          <w:iCs/>
          <w:i/>
        </w:rPr>
        <w:t xml:space="preserve">Research Proposal</w:t>
      </w:r>
      <w:r>
        <w:t xml:space="preserve"> </w:t>
      </w:r>
      <w:r>
        <w:t xml:space="preserve">provides the roadmap for a design ecosystem where cultural fluency is the ultimate competitive advantage.</w:t>
      </w:r>
    </w:p>
    <w:p>
      <w:pPr>
        <w:pStyle w:val="BodyText"/>
      </w:pPr>
      <w:r>
        <w:rPr>
          <w:bCs/>
          <w:b/>
        </w:rPr>
        <w:t xml:space="preserve">Word Count: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in New Zealand Wellington</dc:title>
  <dc:creator/>
  <dc:language>en</dc:language>
  <cp:keywords/>
  <dcterms:created xsi:type="dcterms:W3CDTF">2026-07-24T08:42:40Z</dcterms:created>
  <dcterms:modified xsi:type="dcterms:W3CDTF">2026-07-24T08:42:40Z</dcterms:modified>
</cp:coreProperties>
</file>

<file path=docProps/custom.xml><?xml version="1.0" encoding="utf-8"?>
<Properties xmlns="http://schemas.openxmlformats.org/officeDocument/2006/custom-properties" xmlns:vt="http://schemas.openxmlformats.org/officeDocument/2006/docPropsVTypes"/>
</file>