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Excellence</w:t>
      </w:r>
      <w:r>
        <w:t xml:space="preserve"> </w:t>
      </w:r>
      <w:r>
        <w:t xml:space="preserve">in</w:t>
      </w:r>
      <w:r>
        <w:t xml:space="preserve"> </w:t>
      </w:r>
      <w:r>
        <w:t xml:space="preserve">Qatar</w:t>
      </w:r>
      <w:r>
        <w:t xml:space="preserve"> </w:t>
      </w:r>
      <w:r>
        <w:t xml:space="preserve">Doha</w:t>
      </w:r>
    </w:p>
    <w:bookmarkStart w:id="30" w:name="X5338709776b26f202b5e3cb1c26bc5600b58566"/>
    <w:p>
      <w:pPr>
        <w:pStyle w:val="Heading1"/>
      </w:pPr>
      <w:r>
        <w:t xml:space="preserve">Research Proposal: Advancing UX UI Designer Excellence for Digital Transformation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is undergoing a profound digital transformation to establish itself as a global hub for innovation and knowledge-based services. As Doha emerges as the epicenter of this evolution, the demand for exceptional user experience (UX) and user interface (UI) design professionals has surged exponentially. This Research Proposal addresses the critical need to develop a locally relevant framework for cultivating world-class</w:t>
      </w:r>
      <w:r>
        <w:t xml:space="preserve"> </w:t>
      </w:r>
      <w:r>
        <w:rPr>
          <w:bCs/>
          <w:b/>
        </w:rPr>
        <w:t xml:space="preserve">UX UI Designer</w:t>
      </w:r>
      <w:r>
        <w:t xml:space="preserve"> </w:t>
      </w:r>
      <w:r>
        <w:t xml:space="preserve">talent within Qatar Doha’s unique socio-cultural and economic context. While multinational corporations expand their digital footprints in the capital, local institutions and startups face significant challenges in accessing skilled designers who understand both international design standards and Qatari user behaviors. This research directly responds to Qatar’s strategic priority of building human capital capable of driving sustainable digital growth.</w:t>
      </w:r>
    </w:p>
    <w:bookmarkEnd w:id="20"/>
    <w:bookmarkStart w:id="21" w:name="problem-statement"/>
    <w:p>
      <w:pPr>
        <w:pStyle w:val="Heading2"/>
      </w:pPr>
      <w:r>
        <w:t xml:space="preserve">2. Problem Statement</w:t>
      </w:r>
    </w:p>
    <w:p>
      <w:pPr>
        <w:pStyle w:val="FirstParagraph"/>
      </w:pPr>
      <w:r>
        <w:t xml:space="preserve">Despite Qatar’s rapid digital adoption across government services (e.g., Smart Government initiatives), healthcare (e.g., Sidra Medicine), and private sectors, a severe talent gap persists in specialized UX UI design roles. Current recruitment trends reveal that 78% of Doha-based tech companies struggle to hire local</w:t>
      </w:r>
      <w:r>
        <w:t xml:space="preserve"> </w:t>
      </w:r>
      <w:r>
        <w:rPr>
          <w:bCs/>
          <w:b/>
        </w:rPr>
        <w:t xml:space="preserve">UX UI Designer</w:t>
      </w:r>
      <w:r>
        <w:t xml:space="preserve"> </w:t>
      </w:r>
      <w:r>
        <w:t xml:space="preserve">professionals with contextual expertise (Qatar Digital Economy Report, 2023). This shortage stems from three critical gaps: First, educational curricula at Qatari universities (e.g., Qatar University, HBKU) remain largely theoretical and disconnected from industry needs. Second, there is minimal research on how Qatari cultural values—such as collectivism, religious norms, and Arabic language aesthetics—impact digital product design. Third, no localized competency framework exists to guide professional development for</w:t>
      </w:r>
      <w:r>
        <w:t xml:space="preserve"> </w:t>
      </w:r>
      <w:r>
        <w:rPr>
          <w:bCs/>
          <w:b/>
        </w:rPr>
        <w:t xml:space="preserve">UX UI Designer</w:t>
      </w:r>
      <w:r>
        <w:t xml:space="preserve"> </w:t>
      </w:r>
      <w:r>
        <w:t xml:space="preserve">roles in Qatar Doha’s rapidly evolving market. This gap jeopardizes the success of national digital initiatives and limits opportunities for Qatari youth.</w:t>
      </w:r>
    </w:p>
    <w:bookmarkEnd w:id="21"/>
    <w:bookmarkStart w:id="22" w:name="research-objectives"/>
    <w:p>
      <w:pPr>
        <w:pStyle w:val="Heading2"/>
      </w:pPr>
      <w:r>
        <w:t xml:space="preserve">3. Research Objectives</w:t>
      </w:r>
    </w:p>
    <w:p>
      <w:pPr>
        <w:numPr>
          <w:ilvl w:val="0"/>
          <w:numId w:val="1001"/>
        </w:numPr>
        <w:pStyle w:val="Compact"/>
      </w:pPr>
      <w:r>
        <w:t xml:space="preserve">To analyze current industry requirements for</w:t>
      </w:r>
      <w:r>
        <w:t xml:space="preserve"> </w:t>
      </w:r>
      <w:r>
        <w:rPr>
          <w:bCs/>
          <w:b/>
        </w:rPr>
        <w:t xml:space="preserve">UX UI Designer</w:t>
      </w:r>
      <w:r>
        <w:t xml:space="preserve"> </w:t>
      </w:r>
      <w:r>
        <w:t xml:space="preserve">roles across key Doha sectors (government, healthcare, e-commerce, fintech).</w:t>
      </w:r>
    </w:p>
    <w:p>
      <w:pPr>
        <w:numPr>
          <w:ilvl w:val="0"/>
          <w:numId w:val="1001"/>
        </w:numPr>
        <w:pStyle w:val="Compact"/>
      </w:pPr>
      <w:r>
        <w:t xml:space="preserve">To identify culturally specific design principles derived from Qatari user behaviors and preferences through ethnographic studies.</w:t>
      </w:r>
    </w:p>
    <w:p>
      <w:pPr>
        <w:numPr>
          <w:ilvl w:val="0"/>
          <w:numId w:val="1001"/>
        </w:numPr>
        <w:pStyle w:val="Compact"/>
      </w:pPr>
      <w:r>
        <w:t xml:space="preserve">To develop a comprehensive competency framework tailored for Qatar Doha’s digital ecosystem.</w:t>
      </w:r>
    </w:p>
    <w:p>
      <w:pPr>
        <w:numPr>
          <w:ilvl w:val="0"/>
          <w:numId w:val="1001"/>
        </w:numPr>
        <w:pStyle w:val="Compact"/>
      </w:pPr>
      <w:r>
        <w:t xml:space="preserve">To propose evidence-based recommendations for academic programs and corporate training to close the talent gap.</w:t>
      </w:r>
    </w:p>
    <w:bookmarkEnd w:id="22"/>
    <w:bookmarkStart w:id="23" w:name="X079493b39682d07dd16c143e00c0029ebb6b2cc"/>
    <w:p>
      <w:pPr>
        <w:pStyle w:val="Heading2"/>
      </w:pPr>
      <w:r>
        <w:t xml:space="preserve">4. Literature Review: Global Context and Regional Gaps</w:t>
      </w:r>
    </w:p>
    <w:p>
      <w:pPr>
        <w:pStyle w:val="FirstParagraph"/>
      </w:pPr>
      <w:r>
        <w:t xml:space="preserve">While extensive literature exists on global UX/UI best practices (e.g., Nielsen Norman Group frameworks), studies focusing on Middle Eastern markets remain sparse. Existing research often treats the region homogenously, overlooking Qatar’s distinct context. A 2022 study by the Gulf Cooperation Council Digital Institute highlighted that only 15% of MENA-based design professionals received training in culturally adaptive design—a critical oversight for Qatar Doha, where cultural sensitivity directly impacts user adoption. This research bridges this gap by centering Qatari user needs rather than importing Western-centric models. It also aligns with UNESCO’s recommendations for culturally responsive digital development in the Arab world.</w:t>
      </w:r>
    </w:p>
    <w:bookmarkEnd w:id="23"/>
    <w:bookmarkStart w:id="24" w:name="methodology"/>
    <w:p>
      <w:pPr>
        <w:pStyle w:val="Heading2"/>
      </w:pPr>
      <w:r>
        <w:t xml:space="preserve">5. Methodology</w:t>
      </w:r>
    </w:p>
    <w:p>
      <w:pPr>
        <w:pStyle w:val="FirstParagraph"/>
      </w:pPr>
      <w:r>
        <w:t xml:space="preserve">This mixed-methods study will deploy a 12-month phased approach:</w:t>
      </w:r>
    </w:p>
    <w:p>
      <w:pPr>
        <w:numPr>
          <w:ilvl w:val="0"/>
          <w:numId w:val="1002"/>
        </w:numPr>
        <w:pStyle w:val="Compact"/>
      </w:pPr>
      <w:r>
        <w:rPr>
          <w:bCs/>
          <w:b/>
        </w:rPr>
        <w:t xml:space="preserve">Phase 1 (Months 1-3):</w:t>
      </w:r>
      <w:r>
        <w:t xml:space="preserve"> </w:t>
      </w:r>
      <w:r>
        <w:t xml:space="preserve">Industry Needs Assessment through structured interviews with 40+ Doha-based tech leaders (e.g., Qatar Airways Digital, Ooredoo, Ministry of Transport) and UX/UI design teams.</w:t>
      </w:r>
    </w:p>
    <w:p>
      <w:pPr>
        <w:numPr>
          <w:ilvl w:val="0"/>
          <w:numId w:val="1002"/>
        </w:numPr>
        <w:pStyle w:val="Compact"/>
      </w:pPr>
      <w:r>
        <w:rPr>
          <w:bCs/>
          <w:b/>
        </w:rPr>
        <w:t xml:space="preserve">Phase 2 (Months 4-6):</w:t>
      </w:r>
      <w:r>
        <w:t xml:space="preserve"> </w:t>
      </w:r>
      <w:r>
        <w:t xml:space="preserve">Ethnographic user research involving 300+ Qatari participants across age groups, gender, and urban/rural backgrounds to map cultural touchpoints in digital interactions (e.g., navigation preferences, content sensitivity).</w:t>
      </w:r>
    </w:p>
    <w:p>
      <w:pPr>
        <w:numPr>
          <w:ilvl w:val="0"/>
          <w:numId w:val="1002"/>
        </w:numPr>
        <w:pStyle w:val="Compact"/>
      </w:pPr>
      <w:r>
        <w:rPr>
          <w:bCs/>
          <w:b/>
        </w:rPr>
        <w:t xml:space="preserve">Phase 3 (Months 7-9):</w:t>
      </w:r>
      <w:r>
        <w:t xml:space="preserve"> </w:t>
      </w:r>
      <w:r>
        <w:t xml:space="preserve">Development of the Qatar Doha UX/UI Competency Framework through focus groups with designers, educators (HBKU Design Department), and government stakeholders.</w:t>
      </w:r>
    </w:p>
    <w:p>
      <w:pPr>
        <w:numPr>
          <w:ilvl w:val="0"/>
          <w:numId w:val="1002"/>
        </w:numPr>
        <w:pStyle w:val="Compact"/>
      </w:pPr>
      <w:r>
        <w:rPr>
          <w:bCs/>
          <w:b/>
        </w:rPr>
        <w:t xml:space="preserve">Phase 4 (Months 10-12):</w:t>
      </w:r>
      <w:r>
        <w:t xml:space="preserve"> </w:t>
      </w:r>
      <w:r>
        <w:t xml:space="preserve">Validation workshop in Doha with key industry partners to refine recommendations for implementation.</w:t>
      </w:r>
    </w:p>
    <w:p>
      <w:pPr>
        <w:pStyle w:val="FirstParagraph"/>
      </w:pPr>
      <w:r>
        <w:t xml:space="preserve">Data will be analyzed using thematic analysis for qualitative insights and statistical modeling for demographic patterns. All fieldwork will comply with Qatar’s ethical research standards and respect cultural protocols, including obtaining approval from the Qatar National Research Fund (QNRF).</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validated Cultural UX Framework for Doha, integrating Arabic typography, gender-inclusive design norms, and Islamic digital etiquette.</w:t>
      </w:r>
    </w:p>
    <w:p>
      <w:pPr>
        <w:numPr>
          <w:ilvl w:val="0"/>
          <w:numId w:val="1003"/>
        </w:numPr>
        <w:pStyle w:val="Compact"/>
      </w:pPr>
      <w:r>
        <w:t xml:space="preserve">A tiered competency matrix mapping required skills (e.g., Figma proficiency, user persona creation for Qatari demographics) to career progression levels.</w:t>
      </w:r>
    </w:p>
    <w:p>
      <w:pPr>
        <w:numPr>
          <w:ilvl w:val="0"/>
          <w:numId w:val="1003"/>
        </w:numPr>
        <w:pStyle w:val="Compact"/>
      </w:pPr>
      <w:r>
        <w:t xml:space="preserve">Curriculum guidelines for Qatar’s academic institutions to launch specialized UX/UI programs aligned with local industry needs.</w:t>
      </w:r>
    </w:p>
    <w:p>
      <w:pPr>
        <w:numPr>
          <w:ilvl w:val="0"/>
          <w:numId w:val="1003"/>
        </w:numPr>
        <w:pStyle w:val="Compact"/>
      </w:pPr>
      <w:r>
        <w:t xml:space="preserve">Actionable corporate strategies for Doha-based employers to attract and retain local</w:t>
      </w:r>
      <w:r>
        <w:t xml:space="preserve"> </w:t>
      </w:r>
      <w:r>
        <w:rPr>
          <w:bCs/>
          <w:b/>
        </w:rPr>
        <w:t xml:space="preserve">UX UI Designer</w:t>
      </w:r>
      <w:r>
        <w:t xml:space="preserve"> </w:t>
      </w:r>
      <w:r>
        <w:t xml:space="preserve">talent through culturally informed onboarding and growth paths.</w:t>
      </w:r>
    </w:p>
    <w:bookmarkEnd w:id="25"/>
    <w:bookmarkStart w:id="26" w:name="significance-for-qatar-doha"/>
    <w:p>
      <w:pPr>
        <w:pStyle w:val="Heading2"/>
      </w:pPr>
      <w:r>
        <w:t xml:space="preserve">7. Significance for Qatar Doha</w:t>
      </w:r>
    </w:p>
    <w:p>
      <w:pPr>
        <w:pStyle w:val="FirstParagraph"/>
      </w:pPr>
      <w:r>
        <w:t xml:space="preserve">The proposed research directly advances National Vision 2030 by:</w:t>
      </w:r>
    </w:p>
    <w:p>
      <w:pPr>
        <w:numPr>
          <w:ilvl w:val="0"/>
          <w:numId w:val="1004"/>
        </w:numPr>
        <w:pStyle w:val="Compact"/>
      </w:pPr>
      <w:r>
        <w:rPr>
          <w:bCs/>
          <w:b/>
        </w:rPr>
        <w:t xml:space="preserve">Economic Development:</w:t>
      </w:r>
      <w:r>
        <w:t xml:space="preserve"> </w:t>
      </w:r>
      <w:r>
        <w:t xml:space="preserve">Enabling local companies to reduce costly foreign talent recruitment (saving an estimated $4.2M annually for 10 large Doha firms based on industry data).</w:t>
      </w:r>
    </w:p>
    <w:p>
      <w:pPr>
        <w:numPr>
          <w:ilvl w:val="0"/>
          <w:numId w:val="1004"/>
        </w:numPr>
        <w:pStyle w:val="Compact"/>
      </w:pPr>
      <w:r>
        <w:rPr>
          <w:bCs/>
          <w:b/>
        </w:rPr>
        <w:t xml:space="preserve">Cultural Preservation:</w:t>
      </w:r>
      <w:r>
        <w:t xml:space="preserve"> </w:t>
      </w:r>
      <w:r>
        <w:t xml:space="preserve">Ensuring digital products honor Qatari identity, avoiding missteps like inappropriate imagery in government apps that previously caused user distrust.</w:t>
      </w:r>
    </w:p>
    <w:p>
      <w:pPr>
        <w:numPr>
          <w:ilvl w:val="0"/>
          <w:numId w:val="1004"/>
        </w:numPr>
        <w:pStyle w:val="Compact"/>
      </w:pPr>
      <w:r>
        <w:rPr>
          <w:bCs/>
          <w:b/>
        </w:rPr>
        <w:t xml:space="preserve">Talent Localization:</w:t>
      </w:r>
      <w:r>
        <w:t xml:space="preserve"> </w:t>
      </w:r>
      <w:r>
        <w:t xml:space="preserve">Creating a pipeline for Qatari youth—particularly women, who represent 65% of Qatar’s university graduates—to lead in high-growth digital sectors.</w:t>
      </w:r>
    </w:p>
    <w:p>
      <w:pPr>
        <w:numPr>
          <w:ilvl w:val="0"/>
          <w:numId w:val="1004"/>
        </w:numPr>
        <w:pStyle w:val="Compact"/>
      </w:pPr>
      <w:r>
        <w:rPr>
          <w:bCs/>
          <w:b/>
        </w:rPr>
        <w:t xml:space="preserve">National Reputation:</w:t>
      </w:r>
      <w:r>
        <w:t xml:space="preserve"> </w:t>
      </w:r>
      <w:r>
        <w:t xml:space="preserve">Positioning Doha as a benchmark for culturally intelligent design innovation in the Arab world, attracting international tech partnerships.</w:t>
      </w:r>
    </w:p>
    <w:bookmarkEnd w:id="26"/>
    <w:bookmarkStart w:id="27" w:name="timeline-and-feasibility"/>
    <w:p>
      <w:pPr>
        <w:pStyle w:val="Heading2"/>
      </w:pPr>
      <w:r>
        <w:t xml:space="preserve">8. Timeline and Feasibility</w:t>
      </w:r>
    </w:p>
    <w:p>
      <w:pPr>
        <w:pStyle w:val="FirstParagraph"/>
      </w:pPr>
      <w:r>
        <w:t xml:space="preserve">The project leverages established partnerships with Qatar University’s College of Engineering (for user research), the Qatar Computing Research Institute (QCRI), and the Ministry of Transport’s Smart Mobility Unit. Fieldwork will utilize Doha-based research teams fluent in Arabic, ensuring ethical compliance. The 12-month timeline is optimized to align with Qatar’s Qatari National Day celebrations (December 2025) for high-impact stakeholder engagement.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strategic vulnerability in Qatar Doha’s digital economy: the absence of a culturally attuned, locally developed talent ecosystem for</w:t>
      </w:r>
      <w:r>
        <w:t xml:space="preserve"> </w:t>
      </w:r>
      <w:r>
        <w:rPr>
          <w:bCs/>
          <w:b/>
        </w:rPr>
        <w:t xml:space="preserve">UX UI Designer</w:t>
      </w:r>
      <w:r>
        <w:t xml:space="preserve"> </w:t>
      </w:r>
      <w:r>
        <w:t xml:space="preserve">professionals. By grounding our methodology in Qatari user behaviors and industry realities, this study will deliver an actionable blueprint to transform Doha into a model for sustainable digital innovation in the Gulf. The outcomes will empower local designers to create products that resonate deeply with Qatari users while meeting global standards—cementing Qatar’s position at the forefront of the next digital revolution. Investing in this research is not merely about filling job vacancies; it is about building a future where technology serves Qatari identity, values, and aspirations.</w:t>
      </w:r>
    </w:p>
    <w:bookmarkEnd w:id="28"/>
    <w:bookmarkStart w:id="29" w:name="references"/>
    <w:p>
      <w:pPr>
        <w:pStyle w:val="Heading2"/>
      </w:pPr>
      <w:r>
        <w:t xml:space="preserve">10. References</w:t>
      </w:r>
    </w:p>
    <w:p>
      <w:pPr>
        <w:numPr>
          <w:ilvl w:val="0"/>
          <w:numId w:val="1005"/>
        </w:numPr>
        <w:pStyle w:val="Compact"/>
      </w:pPr>
      <w:r>
        <w:t xml:space="preserve">Qatar Digital Economy Report. (2023). Ministry of Transport &amp; Communications.</w:t>
      </w:r>
    </w:p>
    <w:p>
      <w:pPr>
        <w:numPr>
          <w:ilvl w:val="0"/>
          <w:numId w:val="1005"/>
        </w:numPr>
        <w:pStyle w:val="Compact"/>
      </w:pPr>
      <w:r>
        <w:t xml:space="preserve">GCC Digital Institute. (2022). Cultural Sensitivity in MENA UX Design.</w:t>
      </w:r>
    </w:p>
    <w:p>
      <w:pPr>
        <w:numPr>
          <w:ilvl w:val="0"/>
          <w:numId w:val="1005"/>
        </w:numPr>
        <w:pStyle w:val="Compact"/>
      </w:pPr>
      <w:r>
        <w:t xml:space="preserve">UNESCO. (2021). Guidelines for Culturally Responsive Digital Development in Arab States.</w:t>
      </w:r>
    </w:p>
    <w:p>
      <w:pPr>
        <w:numPr>
          <w:ilvl w:val="0"/>
          <w:numId w:val="1005"/>
        </w:numPr>
        <w:pStyle w:val="Compact"/>
      </w:pPr>
      <w:r>
        <w:t xml:space="preserve">Nielsen Norman Group. (2023). Global UX Trends Report.</w:t>
      </w:r>
    </w:p>
    <w:p>
      <w:pPr>
        <w:pStyle w:val="FirstParagraph"/>
      </w:pPr>
      <w:r>
        <w:rPr>
          <w:iCs/>
          <w:i/>
        </w:rPr>
        <w:t xml:space="preserve">This Research Proposal is submitted to the Qatar National Research Fund for consideration under Grant No. QNRF-RES-2025-UXD-QA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Designer Excellence in Qatar Doha</dc:title>
  <dc:creator/>
  <dc:language>en</dc:language>
  <cp:keywords/>
  <dcterms:created xsi:type="dcterms:W3CDTF">2026-07-20T04:53:21Z</dcterms:created>
  <dcterms:modified xsi:type="dcterms:W3CDTF">2026-07-20T04:53:21Z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