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Economy</w:t>
      </w:r>
    </w:p>
    <w:bookmarkStart w:id="34" w:name="X9cc6863f1bc41d75a88fd6df59bf1fbc5c0a498"/>
    <w:p>
      <w:pPr>
        <w:pStyle w:val="Heading1"/>
      </w:pPr>
      <w:r>
        <w:t xml:space="preserve">Research Proposal: The Evolving Role of UX/UI Designers in Shaping Digital Innovation within United Kingdom Birmingham</w:t>
      </w:r>
    </w:p>
    <w:bookmarkStart w:id="20" w:name="introduction"/>
    <w:p>
      <w:pPr>
        <w:pStyle w:val="Heading2"/>
      </w:pPr>
      <w:r>
        <w:t xml:space="preserve">1. Introduction</w:t>
      </w:r>
    </w:p>
    <w:p>
      <w:pPr>
        <w:pStyle w:val="FirstParagraph"/>
      </w:pPr>
      <w:r>
        <w:t xml:space="preserve">The digital transformation of the United Kingdom's secondary cities has intensified, with Birmingham emerging as a pivotal hub for tech and creative industries outside London. As the largest city outside London and a designated UK City of Culture, Birmingham presents a unique ecosystem where user experience (UX) and user interface (UI) design are critical drivers of economic growth. This</w:t>
      </w:r>
      <w:r>
        <w:t xml:space="preserve"> </w:t>
      </w:r>
      <w:r>
        <w:rPr>
          <w:bCs/>
          <w:b/>
        </w:rPr>
        <w:t xml:space="preserve">Research Proposal</w:t>
      </w:r>
      <w:r>
        <w:t xml:space="preserve"> </w:t>
      </w:r>
      <w:r>
        <w:t xml:space="preserve">investigates the specific challenges, opportunities, and strategic value of</w:t>
      </w:r>
      <w:r>
        <w:t xml:space="preserve"> </w:t>
      </w:r>
      <w:r>
        <w:rPr>
          <w:bCs/>
          <w:b/>
        </w:rPr>
        <w:t xml:space="preserve">UX UI Designer</w:t>
      </w:r>
      <w:r>
        <w:t xml:space="preserve"> </w:t>
      </w:r>
      <w:r>
        <w:t xml:space="preserve">professionals within Birmingham's evolving digital landscape. With the city's tech sector expanding at 12% annually (Tech Nation 2023), understanding how UX/UI design talent contributes to local business success is not merely academic—it is essential for regional competitiveness in the</w:t>
      </w:r>
      <w:r>
        <w:t xml:space="preserve"> </w:t>
      </w:r>
      <w:r>
        <w:rPr>
          <w:bCs/>
          <w:b/>
        </w:rPr>
        <w:t xml:space="preserve">United Kingdom Birmingham</w:t>
      </w:r>
      <w:r>
        <w:t xml:space="preserve"> </w:t>
      </w:r>
      <w:r>
        <w:t xml:space="preserve">context.</w:t>
      </w:r>
    </w:p>
    <w:bookmarkEnd w:id="20"/>
    <w:bookmarkStart w:id="21" w:name="literature-review-and-contextual-gap"/>
    <w:p>
      <w:pPr>
        <w:pStyle w:val="Heading2"/>
      </w:pPr>
      <w:r>
        <w:t xml:space="preserve">2. Literature Review and Contextual Gap</w:t>
      </w:r>
    </w:p>
    <w:p>
      <w:pPr>
        <w:pStyle w:val="FirstParagraph"/>
      </w:pPr>
      <w:r>
        <w:t xml:space="preserve">Existing research predominantly focuses on UX/UI design in London-centric tech hubs, neglecting regional dynamics. Studies by the Design Council (2021) highlight a UK-wide shortage of 50,000 digital design professionals, but Birmingham-specific data remains scarce. Local initiatives like the Birmingham City University's Digital Innovation Centre and Midlands Engine partnerships emphasize skills development yet lack granular analysis of UX/UI roles' impact on SMEs. Crucially, no comprehensive study examines how</w:t>
      </w:r>
      <w:r>
        <w:t xml:space="preserve"> </w:t>
      </w:r>
      <w:r>
        <w:rPr>
          <w:bCs/>
          <w:b/>
        </w:rPr>
        <w:t xml:space="preserve">UX UI Designer</w:t>
      </w:r>
      <w:r>
        <w:t xml:space="preserve"> </w:t>
      </w:r>
      <w:r>
        <w:t xml:space="preserve">practices in</w:t>
      </w:r>
      <w:r>
        <w:t xml:space="preserve"> </w:t>
      </w:r>
      <w:r>
        <w:rPr>
          <w:bCs/>
          <w:b/>
        </w:rPr>
        <w:t xml:space="preserve">United Kingdom Birmingham</w:t>
      </w:r>
      <w:r>
        <w:t xml:space="preserve"> </w:t>
      </w:r>
      <w:r>
        <w:t xml:space="preserve">adapt to local market needs—such as the city's diverse population (45% BAME communities) or legacy industries like manufacturing transitioning to digital services. This research directly addresses this gap by centering Birmingham as a case study for regional UX/UI innovation.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skill sets, and career pathways of</w:t>
      </w:r>
      <w:r>
        <w:t xml:space="preserve"> </w:t>
      </w:r>
      <w:r>
        <w:rPr>
          <w:bCs/>
          <w:b/>
        </w:rPr>
        <w:t xml:space="preserve">UX UI Designer</w:t>
      </w:r>
      <w:r>
        <w:t xml:space="preserve"> </w:t>
      </w:r>
      <w:r>
        <w:t xml:space="preserve">professionals in Birmingham's tech ecosystem.</w:t>
      </w:r>
    </w:p>
    <w:p>
      <w:pPr>
        <w:numPr>
          <w:ilvl w:val="0"/>
          <w:numId w:val="1001"/>
        </w:numPr>
        <w:pStyle w:val="Compact"/>
      </w:pPr>
      <w:r>
        <w:t xml:space="preserve">To identify how local businesses leverage UX/UI design to overcome regional challenges (e.g., accessibility for diverse demographics, integration with legacy systems).</w:t>
      </w:r>
    </w:p>
    <w:p>
      <w:pPr>
        <w:numPr>
          <w:ilvl w:val="0"/>
          <w:numId w:val="1001"/>
        </w:numPr>
        <w:pStyle w:val="Compact"/>
      </w:pPr>
      <w:r>
        <w:t xml:space="preserve">To analyze the impact of UK government initiatives (e.g., Midlands Engine, Digital Skills Partnership) on nurturing UX/UI talent in Birmingham.</w:t>
      </w:r>
    </w:p>
    <w:p>
      <w:pPr>
        <w:numPr>
          <w:ilvl w:val="0"/>
          <w:numId w:val="1001"/>
        </w:numPr>
        <w:pStyle w:val="Compact"/>
      </w:pPr>
      <w:r>
        <w:t xml:space="preserve">To develop a framework for optimizing UX/UI design strategies tailored to Birmingham's unique economic and cultural context.</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phase-industry-survey"/>
    <w:p>
      <w:pPr>
        <w:pStyle w:val="Heading3"/>
      </w:pPr>
      <w:r>
        <w:t xml:space="preserve">Quantitative Phase: Industry Survey</w:t>
      </w:r>
    </w:p>
    <w:p>
      <w:pPr>
        <w:pStyle w:val="FirstParagraph"/>
      </w:pPr>
      <w:r>
        <w:t xml:space="preserve">A stratified online survey targeting 150+ Birmingham-based companies (SMEs, scale-ups, and agencies) will quantify UX/UI design adoption rates, salary trends (£28k–£45k for mid-career roles), and ROI metrics. Questions will assess how designers address local challenges like "How do you adapt interfaces for Birmingham’s multilingual user base?"</w:t>
      </w:r>
    </w:p>
    <w:bookmarkEnd w:id="23"/>
    <w:bookmarkStart w:id="24" w:name="qualitative-phase-stakeholder-interviews"/>
    <w:p>
      <w:pPr>
        <w:pStyle w:val="Heading3"/>
      </w:pPr>
      <w:r>
        <w:t xml:space="preserve">Qualitative Phase: Stakeholder Interviews</w:t>
      </w:r>
    </w:p>
    <w:p>
      <w:pPr>
        <w:pStyle w:val="FirstParagraph"/>
      </w:pPr>
      <w:r>
        <w:t xml:space="preserve">In-depth interviews with 25 key stakeholders—including UX/UI designers from firms like T-Mobile UK, SME founders in Digbeth Creative Quarter, and educators at Birmingham Metropolitan College—will explore nuanced insights. For example: "How does your design process change when serving clients across Birmingham’s distinct boroughs (e.g., Handsworth vs. Edgbaston)?"</w:t>
      </w:r>
    </w:p>
    <w:bookmarkEnd w:id="24"/>
    <w:bookmarkStart w:id="25" w:name="case-study-analysis"/>
    <w:p>
      <w:pPr>
        <w:pStyle w:val="Heading3"/>
      </w:pPr>
      <w:r>
        <w:t xml:space="preserve">Case Study Analysis</w:t>
      </w:r>
    </w:p>
    <w:p>
      <w:pPr>
        <w:pStyle w:val="FirstParagraph"/>
      </w:pPr>
      <w:r>
        <w:t xml:space="preserve">Critical case studies will examine projects where UX/UI design directly impacted Birmingham's urban challenges, such as:</w:t>
      </w:r>
    </w:p>
    <w:p>
      <w:pPr>
        <w:numPr>
          <w:ilvl w:val="0"/>
          <w:numId w:val="1002"/>
        </w:numPr>
        <w:pStyle w:val="Compact"/>
      </w:pPr>
      <w:r>
        <w:t xml:space="preserve">The redesign of Birmingham City Council’s citizen portal (improving accessibility for elderly users in Sparkbrook)</w:t>
      </w:r>
    </w:p>
    <w:p>
      <w:pPr>
        <w:numPr>
          <w:ilvl w:val="0"/>
          <w:numId w:val="1002"/>
        </w:numPr>
        <w:pStyle w:val="Compact"/>
      </w:pPr>
      <w:r>
        <w:t xml:space="preserve">Local startup "Birmingham Bikes"’s app redesign that increased user engagement by 35% through culturally relevant UI patterns</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actionable intelligence for three key stakeholders in the Birmingham digital economy:</w:t>
      </w:r>
    </w:p>
    <w:bookmarkStart w:id="27" w:name="for-businesses"/>
    <w:p>
      <w:pPr>
        <w:pStyle w:val="Heading3"/>
      </w:pPr>
      <w:r>
        <w:t xml:space="preserve">For Businesses</w:t>
      </w:r>
    </w:p>
    <w:p>
      <w:pPr>
        <w:pStyle w:val="FirstParagraph"/>
      </w:pPr>
      <w:r>
        <w:t xml:space="preserve">A benchmarking toolkit showing how investing in specialized UX/UI design reduces customer acquisition costs (e.g., by 22% through intuitive onboarding flows) and increases regional market share. The study will identify "Birmingham-specific" design best practices—such as integrating heritage aesthetics into digital products for local brand resonance.</w:t>
      </w:r>
    </w:p>
    <w:bookmarkEnd w:id="27"/>
    <w:bookmarkStart w:id="28" w:name="for-education-providers"/>
    <w:p>
      <w:pPr>
        <w:pStyle w:val="Heading3"/>
      </w:pPr>
      <w:r>
        <w:t xml:space="preserve">For Education Providers</w:t>
      </w:r>
    </w:p>
    <w:p>
      <w:pPr>
        <w:pStyle w:val="FirstParagraph"/>
      </w:pPr>
      <w:r>
        <w:t xml:space="preserve">Curriculum recommendations for institutions like Birmingham City University to align UX/UI courses with local industry needs (e.g., modules on inclusive design for multicultural populations, or case studies of manufacturing-to-digital transitions).</w:t>
      </w:r>
    </w:p>
    <w:bookmarkEnd w:id="28"/>
    <w:bookmarkStart w:id="29" w:name="for-regional-policy"/>
    <w:p>
      <w:pPr>
        <w:pStyle w:val="Heading3"/>
      </w:pPr>
      <w:r>
        <w:t xml:space="preserve">For Regional Policy</w:t>
      </w:r>
    </w:p>
    <w:p>
      <w:pPr>
        <w:pStyle w:val="FirstParagraph"/>
      </w:pPr>
      <w:r>
        <w:t xml:space="preserve">A strategic framework advocating for targeted incentives within the Midlands Engine’s Digital Strategy. Findings will support evidence-based funding decisions—such as subsidizing UX/UI training programs to address the city’s 28% talent gap in design roles (Birmingham Tech Report, 2024).</w:t>
      </w:r>
    </w:p>
    <w:bookmarkEnd w:id="29"/>
    <w:bookmarkEnd w:id="30"/>
    <w:bookmarkStart w:id="31" w:name="timeline-and-feasibility"/>
    <w:p>
      <w:pPr>
        <w:pStyle w:val="Heading2"/>
      </w:pPr>
      <w:r>
        <w:t xml:space="preserve">6. Timeline and Feasibility</w:t>
      </w:r>
    </w:p>
    <w:p>
      <w:pPr>
        <w:pStyle w:val="FirstParagraph"/>
      </w:pPr>
      <w:r>
        <w:t xml:space="preserve">The project spans 10 months with Birmingham-based fieldwork ensuring contextual relevance:</w:t>
      </w:r>
    </w:p>
    <w:p>
      <w:pPr>
        <w:numPr>
          <w:ilvl w:val="0"/>
          <w:numId w:val="1003"/>
        </w:numPr>
        <w:pStyle w:val="Compact"/>
      </w:pPr>
      <w:r>
        <w:rPr>
          <w:bCs/>
          <w:b/>
        </w:rPr>
        <w:t xml:space="preserve">Months 1–3:</w:t>
      </w:r>
      <w:r>
        <w:t xml:space="preserve"> </w:t>
      </w:r>
      <w:r>
        <w:t xml:space="preserve">Literature review, stakeholder mapping, survey design (with input from Birmingham Chamber of Commerce)</w:t>
      </w:r>
    </w:p>
    <w:p>
      <w:pPr>
        <w:numPr>
          <w:ilvl w:val="0"/>
          <w:numId w:val="1003"/>
        </w:numPr>
        <w:pStyle w:val="Compact"/>
      </w:pPr>
      <w:r>
        <w:rPr>
          <w:bCs/>
          <w:b/>
        </w:rPr>
        <w:t xml:space="preserve">Months 4–6:</w:t>
      </w:r>
      <w:r>
        <w:t xml:space="preserve"> </w:t>
      </w:r>
      <w:r>
        <w:t xml:space="preserve">Survey deployment, interview recruitment, case study selection</w:t>
      </w:r>
    </w:p>
    <w:p>
      <w:pPr>
        <w:numPr>
          <w:ilvl w:val="0"/>
          <w:numId w:val="1003"/>
        </w:numPr>
        <w:pStyle w:val="Compact"/>
      </w:pPr>
      <w:r>
        <w:rPr>
          <w:bCs/>
          <w:b/>
        </w:rPr>
        <w:t xml:space="preserve">Months 7–9:</w:t>
      </w:r>
      <w:r>
        <w:t xml:space="preserve"> </w:t>
      </w:r>
      <w:r>
        <w:t xml:space="preserve">Data analysis using NVivo and SPSS; draft framework development</w:t>
      </w:r>
    </w:p>
    <w:p>
      <w:pPr>
        <w:numPr>
          <w:ilvl w:val="0"/>
          <w:numId w:val="1003"/>
        </w:numPr>
        <w:pStyle w:val="Compact"/>
      </w:pPr>
      <w:r>
        <w:rPr>
          <w:bCs/>
          <w:b/>
        </w:rPr>
        <w:t xml:space="preserve">Month 10:</w:t>
      </w:r>
      <w:r>
        <w:t xml:space="preserve"> </w:t>
      </w:r>
      <w:r>
        <w:t xml:space="preserve">Validation workshop with Birmingham Digital Leaders Group; final report submission</w:t>
      </w:r>
    </w:p>
    <w:p>
      <w:pPr>
        <w:pStyle w:val="FirstParagraph"/>
      </w:pPr>
      <w:r>
        <w:t xml:space="preserve">The team’s partnership with the University of Birmingham’s Centre for Cultural Policy ensures academic rigor, while collaborations with local bodies like Tech North and BCC Digital make implementation feasible.</w:t>
      </w:r>
    </w:p>
    <w:bookmarkEnd w:id="31"/>
    <w:bookmarkStart w:id="32" w:name="conclusion"/>
    <w:p>
      <w:pPr>
        <w:pStyle w:val="Heading2"/>
      </w:pPr>
      <w:r>
        <w:t xml:space="preserve">7. Conclusion</w:t>
      </w:r>
    </w:p>
    <w:p>
      <w:pPr>
        <w:pStyle w:val="FirstParagraph"/>
      </w:pPr>
      <w:r>
        <w:t xml:space="preserve">In an era where digital experience directly influences economic resilience, this</w:t>
      </w:r>
      <w:r>
        <w:t xml:space="preserve"> </w:t>
      </w:r>
      <w:r>
        <w:rPr>
          <w:bCs/>
          <w:b/>
        </w:rPr>
        <w:t xml:space="preserve">Research Proposal</w:t>
      </w:r>
      <w:r>
        <w:t xml:space="preserve"> </w:t>
      </w:r>
      <w:r>
        <w:t xml:space="preserve">positions the</w:t>
      </w:r>
      <w:r>
        <w:t xml:space="preserve"> </w:t>
      </w:r>
      <w:r>
        <w:rPr>
          <w:bCs/>
          <w:b/>
        </w:rPr>
        <w:t xml:space="preserve">UX UI Designer</w:t>
      </w:r>
      <w:r>
        <w:t xml:space="preserve"> </w:t>
      </w:r>
      <w:r>
        <w:t xml:space="preserve">as a strategic asset for the future of the</w:t>
      </w:r>
      <w:r>
        <w:t xml:space="preserve"> </w:t>
      </w:r>
      <w:r>
        <w:rPr>
          <w:bCs/>
          <w:b/>
        </w:rPr>
        <w:t xml:space="preserve">United Kingdom Birmingham</w:t>
      </w:r>
      <w:r>
        <w:t xml:space="preserve">. By moving beyond generic UX frameworks to address Birmingham’s specific socio-economic fabric—from its post-industrial regeneration zones to its vibrant cultural diversity—this study will generate transferable insights for other UK regional hubs. The outcomes will empower local businesses to build more inclusive, competitive digital products, attract talent through a stronger design ecosystem, and ultimately strengthen Birmingham’s position as a national leader in human-centered technology. This research is not merely about designing screens; it is about shaping the digital future of one of Britain’s most dynamic cities.</w:t>
      </w:r>
    </w:p>
    <w:bookmarkEnd w:id="32"/>
    <w:bookmarkStart w:id="33" w:name="references"/>
    <w:p>
      <w:pPr>
        <w:pStyle w:val="Heading2"/>
      </w:pPr>
      <w:r>
        <w:t xml:space="preserve">8. References</w:t>
      </w:r>
    </w:p>
    <w:p>
      <w:pPr>
        <w:pStyle w:val="FirstParagraph"/>
      </w:pPr>
      <w:r>
        <w:t xml:space="preserve">Birmingham Tech Report (2024). *Digital Talent Gap Analysis*. Birmingham City Council.</w:t>
      </w:r>
      <w:r>
        <w:br/>
      </w:r>
      <w:r>
        <w:t xml:space="preserve">Design Council (2021). *The State of Design in the UK*. London: Design Council.</w:t>
      </w:r>
      <w:r>
        <w:br/>
      </w:r>
      <w:r>
        <w:t xml:space="preserve">Tech Nation (2023). *UK Tech Trends Report*. Manchester: Tech Nation.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United Kingdom Birmingham's Digital Economy</dc:title>
  <dc:creator/>
  <dc:language>en</dc:language>
  <cp:keywords/>
  <dcterms:created xsi:type="dcterms:W3CDTF">2025-12-07T16:36:20Z</dcterms:created>
  <dcterms:modified xsi:type="dcterms:W3CDTF">2025-12-07T16:36:20Z</dcterms:modified>
</cp:coreProperties>
</file>

<file path=docProps/custom.xml><?xml version="1.0" encoding="utf-8"?>
<Properties xmlns="http://schemas.openxmlformats.org/officeDocument/2006/custom-properties" xmlns:vt="http://schemas.openxmlformats.org/officeDocument/2006/docPropsVTypes"/>
</file>