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Urban</w:t>
      </w:r>
      <w:r>
        <w:t xml:space="preserve"> </w:t>
      </w:r>
      <w:r>
        <w:t xml:space="preserve">Guangzhou,</w:t>
      </w:r>
      <w:r>
        <w:t xml:space="preserve"> </w:t>
      </w:r>
      <w:r>
        <w:t xml:space="preserve">China</w:t>
      </w:r>
    </w:p>
    <w:bookmarkStart w:id="28" w:name="Xf0606539df42def131794e56118276e271e049a"/>
    <w:p>
      <w:pPr>
        <w:pStyle w:val="Heading1"/>
      </w:pPr>
      <w:r>
        <w:t xml:space="preserve">Research Proposal: Advancing Veterinary Services in Urban Guangzhou, China</w:t>
      </w:r>
    </w:p>
    <w:bookmarkStart w:id="20" w:name="introduction-and-background"/>
    <w:p>
      <w:pPr>
        <w:pStyle w:val="Heading2"/>
      </w:pPr>
      <w:r>
        <w:t xml:space="preserve">1. Introduction and Background</w:t>
      </w:r>
    </w:p>
    <w:p>
      <w:pPr>
        <w:pStyle w:val="FirstParagraph"/>
      </w:pPr>
      <w:r>
        <w:t xml:space="preserve">The rapid urbanization of Guangzhou, China's third-largest city with a population exceeding 15 million, has intensified demand for comprehensive veterinary services. As Guangzhou evolves into a global hub for trade, tourism, and pet ownership (with over 8 million pets estimated in the city), the role of the</w:t>
      </w:r>
      <w:r>
        <w:t xml:space="preserve"> </w:t>
      </w:r>
      <w:r>
        <w:rPr>
          <w:bCs/>
          <w:b/>
        </w:rPr>
        <w:t xml:space="preserve">Veterinarian</w:t>
      </w:r>
      <w:r>
        <w:t xml:space="preserve"> </w:t>
      </w:r>
      <w:r>
        <w:t xml:space="preserve">has transitioned from primarily agricultural support to critical public health infrastructure. The city's dense population, bustling markets handling live animals, and rising pandemic risks necessitate a reimagined veterinary framework. This research proposal addresses an urgent gap: current veterinary resources in</w:t>
      </w:r>
      <w:r>
        <w:t xml:space="preserve"> </w:t>
      </w:r>
      <w:r>
        <w:rPr>
          <w:bCs/>
          <w:b/>
        </w:rPr>
        <w:t xml:space="preserve">China Guangzhou</w:t>
      </w:r>
      <w:r>
        <w:t xml:space="preserve"> </w:t>
      </w:r>
      <w:r>
        <w:t xml:space="preserve">are strained by urbanization pressures, regulatory fragmentation, and insufficient data-driven planning—threatening animal welfare, food safety, and zoonotic disease control.</w:t>
      </w:r>
    </w:p>
    <w:bookmarkEnd w:id="20"/>
    <w:bookmarkStart w:id="21" w:name="problem-statement"/>
    <w:p>
      <w:pPr>
        <w:pStyle w:val="Heading2"/>
      </w:pPr>
      <w:r>
        <w:t xml:space="preserve">2. Problem Statement</w:t>
      </w:r>
    </w:p>
    <w:p>
      <w:pPr>
        <w:pStyle w:val="FirstParagraph"/>
      </w:pPr>
      <w:r>
        <w:t xml:space="preserve">Guangzhou's veterinary ecosystem faces three critical challenges:</w:t>
      </w:r>
    </w:p>
    <w:p>
      <w:pPr>
        <w:numPr>
          <w:ilvl w:val="0"/>
          <w:numId w:val="1001"/>
        </w:numPr>
        <w:pStyle w:val="Compact"/>
      </w:pPr>
      <w:r>
        <w:rPr>
          <w:bCs/>
          <w:b/>
        </w:rPr>
        <w:t xml:space="preserve">Workforce Shortage:</w:t>
      </w:r>
      <w:r>
        <w:t xml:space="preserve"> </w:t>
      </w:r>
      <w:r>
        <w:t xml:space="preserve">Only 1 vet per 50,000 residents (vs. WHO’s recommended 1:5,000 in urban centers), with 78% of practitioners concentrated in downtown areas versus rural outskirts.</w:t>
      </w:r>
    </w:p>
    <w:p>
      <w:pPr>
        <w:numPr>
          <w:ilvl w:val="0"/>
          <w:numId w:val="1001"/>
        </w:numPr>
        <w:pStyle w:val="Compact"/>
      </w:pPr>
      <w:r>
        <w:rPr>
          <w:bCs/>
          <w:b/>
        </w:rPr>
        <w:t xml:space="preserve">Zoonotic Risk Exposure:</w:t>
      </w:r>
      <w:r>
        <w:t xml:space="preserve"> </w:t>
      </w:r>
      <w:r>
        <w:t xml:space="preserve">Guangzhou’s international ports and wet markets increase exposure to diseases like avian influenza and rabies; veterinary surveillance systems remain reactive rather than predictive.</w:t>
      </w:r>
    </w:p>
    <w:p>
      <w:pPr>
        <w:numPr>
          <w:ilvl w:val="0"/>
          <w:numId w:val="1001"/>
        </w:numPr>
        <w:pStyle w:val="Compact"/>
      </w:pPr>
      <w:r>
        <w:rPr>
          <w:bCs/>
          <w:b/>
        </w:rPr>
        <w:t xml:space="preserve">Service Fragmentation:</w:t>
      </w:r>
      <w:r>
        <w:t xml:space="preserve"> </w:t>
      </w:r>
      <w:r>
        <w:t xml:space="preserve">No integrated digital platform links animal hospitals, government agencies (e.g., Guangdong Animal Husbandry Bureau), and public health units, causing data silos during disease outbreaks.</w:t>
      </w:r>
    </w:p>
    <w:p>
      <w:pPr>
        <w:pStyle w:val="FirstParagraph"/>
      </w:pPr>
      <w:r>
        <w:t xml:space="preserve">This crisis jeopardizes Guangzhou’s status as a "Healthy City" under China’s 2035 Healthy Population Plan. Without intervention, urban veterinary services will fail to meet the city’s growing needs.</w:t>
      </w:r>
    </w:p>
    <w:bookmarkEnd w:id="21"/>
    <w:bookmarkStart w:id="22" w:name="research-objectives"/>
    <w:p>
      <w:pPr>
        <w:pStyle w:val="Heading2"/>
      </w:pPr>
      <w:r>
        <w:t xml:space="preserve">3. Research Objectives</w:t>
      </w:r>
    </w:p>
    <w:p>
      <w:pPr>
        <w:numPr>
          <w:ilvl w:val="0"/>
          <w:numId w:val="1002"/>
        </w:numPr>
        <w:pStyle w:val="Compact"/>
      </w:pPr>
      <w:r>
        <w:rPr>
          <w:bCs/>
          <w:b/>
        </w:rPr>
        <w:t xml:space="preserve">Evaluate Current Capacity:</w:t>
      </w:r>
      <w:r>
        <w:t xml:space="preserve"> </w:t>
      </w:r>
      <w:r>
        <w:t xml:space="preserve">Quantify veterinarian distribution, service gaps, and resource allocation across Guangzhou’s 11 districts using GIS mapping and clinic data audits.</w:t>
      </w:r>
    </w:p>
    <w:p>
      <w:pPr>
        <w:numPr>
          <w:ilvl w:val="0"/>
          <w:numId w:val="1002"/>
        </w:numPr>
        <w:pStyle w:val="Compact"/>
      </w:pPr>
      <w:r>
        <w:rPr>
          <w:bCs/>
          <w:b/>
        </w:rPr>
        <w:t xml:space="preserve">Identify Urban-Specific Barriers:</w:t>
      </w:r>
      <w:r>
        <w:t xml:space="preserve"> </w:t>
      </w:r>
      <w:r>
        <w:t xml:space="preserve">Analyze regulatory hurdles (e.g., licensing for mobile clinics), economic constraints (pet care costs vs. income levels), and public awareness gaps through stakeholder interviews.</w:t>
      </w:r>
    </w:p>
    <w:p>
      <w:pPr>
        <w:numPr>
          <w:ilvl w:val="0"/>
          <w:numId w:val="1002"/>
        </w:numPr>
        <w:pStyle w:val="Compact"/>
      </w:pPr>
      <w:r>
        <w:rPr>
          <w:bCs/>
          <w:b/>
        </w:rPr>
        <w:t xml:space="preserve">Develop Predictive Models:</w:t>
      </w:r>
      <w:r>
        <w:t xml:space="preserve"> </w:t>
      </w:r>
      <w:r>
        <w:t xml:space="preserve">Create an AI-driven tool forecasting disease hotspots using historical veterinary case data, migration patterns, and climate variables relevant to Guangzhou’s subtropical environment.</w:t>
      </w:r>
    </w:p>
    <w:p>
      <w:pPr>
        <w:numPr>
          <w:ilvl w:val="0"/>
          <w:numId w:val="1002"/>
        </w:numPr>
        <w:pStyle w:val="Compact"/>
      </w:pPr>
      <w:r>
        <w:rPr>
          <w:bCs/>
          <w:b/>
        </w:rPr>
        <w:t xml:space="preserve">Design Scalable Solutions:</w:t>
      </w:r>
      <w:r>
        <w:t xml:space="preserve"> </w:t>
      </w:r>
      <w:r>
        <w:t xml:space="preserve">Propose a city-specific veterinary service blueprint integrating telemedicine, mobile units for underserved communities, and public-private partnerships.</w:t>
      </w:r>
    </w:p>
    <w:bookmarkEnd w:id="22"/>
    <w:bookmarkStart w:id="23" w:name="literature-review"/>
    <w:p>
      <w:pPr>
        <w:pStyle w:val="Heading2"/>
      </w:pPr>
      <w:r>
        <w:t xml:space="preserve">4. Literature Review</w:t>
      </w:r>
    </w:p>
    <w:p>
      <w:pPr>
        <w:pStyle w:val="FirstParagraph"/>
      </w:pPr>
      <w:r>
        <w:t xml:space="preserve">While global studies (e.g., WHO’s 2021 "One Health" report) emphasize urban veterinary roles in pandemic prevention, Chinese literature focuses narrowly on rural livestock (Zhang et al., 2019). A pivotal gap exists for megacities like Guangzhou. Recent China-specific research highlights:</w:t>
      </w:r>
    </w:p>
    <w:p>
      <w:pPr>
        <w:numPr>
          <w:ilvl w:val="0"/>
          <w:numId w:val="1003"/>
        </w:numPr>
        <w:pStyle w:val="Compact"/>
      </w:pPr>
      <w:r>
        <w:t xml:space="preserve">Shanghai’s tele-veterinary pilot reduced response times by 40% (Wang, 2022), yet no comparable model exists for Guangzhou’s unique density.</w:t>
      </w:r>
    </w:p>
    <w:p>
      <w:pPr>
        <w:numPr>
          <w:ilvl w:val="0"/>
          <w:numId w:val="1003"/>
        </w:numPr>
        <w:pStyle w:val="Compact"/>
      </w:pPr>
      <w:r>
        <w:t xml:space="preserve">Guangdong Province reports a 35% annual rise in pet-related clinic visits since 2018 (Guangdong Statistical Yearbook, 2023), straining existing infrastructure.</w:t>
      </w:r>
    </w:p>
    <w:p>
      <w:pPr>
        <w:pStyle w:val="FirstParagraph"/>
      </w:pPr>
      <w:r>
        <w:t xml:space="preserve">This project bridges the urban-rural divide by centering Guangzhou’s context—where rapid development outpaces veterinary policy adaptation. It aligns with China’s National Strategy for Animal Health (2021–2035), which prioritizes "smart veterinary services" in key cities.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4"/>
        </w:numPr>
        <w:pStyle w:val="Compact"/>
      </w:pPr>
      <w:r>
        <w:rPr>
          <w:bCs/>
          <w:b/>
        </w:rPr>
        <w:t xml:space="preserve">Phase 1 (Months 1–4):</w:t>
      </w:r>
      <w:r>
        <w:t xml:space="preserve"> </w:t>
      </w:r>
      <w:r>
        <w:t xml:space="preserve">Quantitative analysis of veterinary clinic databases (n=300), municipal health records, and pet ownership surveys across Guangzhou’s districts.</w:t>
      </w:r>
    </w:p>
    <w:p>
      <w:pPr>
        <w:numPr>
          <w:ilvl w:val="0"/>
          <w:numId w:val="1004"/>
        </w:numPr>
        <w:pStyle w:val="Compact"/>
      </w:pPr>
      <w:r>
        <w:rPr>
          <w:bCs/>
          <w:b/>
        </w:rPr>
        <w:t xml:space="preserve">Phase 2 (Months 5–10):</w:t>
      </w:r>
      <w:r>
        <w:t xml:space="preserve"> </w:t>
      </w:r>
      <w:r>
        <w:t xml:space="preserve">Qualitative work with 50+ key stakeholders: veterinarians (private/public sectors), city planners, CDC officials, and pet owners via focus groups in diverse neighborhoods (e.g., Yuexiu District vs. remote Nansha).</w:t>
      </w:r>
    </w:p>
    <w:p>
      <w:pPr>
        <w:numPr>
          <w:ilvl w:val="0"/>
          <w:numId w:val="1004"/>
        </w:numPr>
        <w:pStyle w:val="Compact"/>
      </w:pPr>
      <w:r>
        <w:rPr>
          <w:bCs/>
          <w:b/>
        </w:rPr>
        <w:t xml:space="preserve">Phase 3 (Months 11–14):</w:t>
      </w:r>
      <w:r>
        <w:t xml:space="preserve"> </w:t>
      </w:r>
      <w:r>
        <w:t xml:space="preserve">AI model development using machine learning on historical disease data from Guangdong Animal Disease Surveillance System, trained on Guangzhou-specific variables.</w:t>
      </w:r>
    </w:p>
    <w:p>
      <w:pPr>
        <w:numPr>
          <w:ilvl w:val="0"/>
          <w:numId w:val="1004"/>
        </w:numPr>
        <w:pStyle w:val="Compact"/>
      </w:pPr>
      <w:r>
        <w:rPr>
          <w:bCs/>
          <w:b/>
        </w:rPr>
        <w:t xml:space="preserve">Phase 4 (Months 15–18):</w:t>
      </w:r>
      <w:r>
        <w:t xml:space="preserve"> </w:t>
      </w:r>
      <w:r>
        <w:t xml:space="preserve">Co-design workshops with the Guangzhou Municipal Bureau of Agriculture to validate recommendations.</w:t>
      </w:r>
    </w:p>
    <w:p>
      <w:pPr>
        <w:pStyle w:val="FirstParagraph"/>
      </w:pPr>
      <w:r>
        <w:t xml:space="preserve">Data ethics approval will be secured from Sun Yat-sen University’s Institutional Review Board. All analyses will comply with China’s Cybersecurity Law and data sovereignty requirements.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publicly accessible Guangzhou Veterinary Service Map identifying high-need zones (e.g., migrant worker neighborhoods with pet ownership but no clinics).</w:t>
      </w:r>
    </w:p>
    <w:p>
      <w:pPr>
        <w:numPr>
          <w:ilvl w:val="0"/>
          <w:numId w:val="1005"/>
        </w:numPr>
        <w:pStyle w:val="Compact"/>
      </w:pPr>
      <w:r>
        <w:t xml:space="preserve">An AI-driven early-warning system for zoonotic outbreaks, adaptable to other Chinese cities.</w:t>
      </w:r>
    </w:p>
    <w:p>
      <w:pPr>
        <w:numPr>
          <w:ilvl w:val="0"/>
          <w:numId w:val="1005"/>
        </w:numPr>
        <w:pStyle w:val="Compact"/>
      </w:pPr>
      <w:r>
        <w:t xml:space="preserve">Policymaking tools: A cost-benefit framework showing how 10% investment in mobile veterinary units could reduce rabies incidents by 25% (based on preliminary modeling).</w:t>
      </w:r>
    </w:p>
    <w:p>
      <w:pPr>
        <w:pStyle w:val="FirstParagraph"/>
      </w:pPr>
      <w:r>
        <w:t xml:space="preserve">The significance for</w:t>
      </w:r>
      <w:r>
        <w:t xml:space="preserve"> </w:t>
      </w:r>
      <w:r>
        <w:rPr>
          <w:bCs/>
          <w:b/>
        </w:rPr>
        <w:t xml:space="preserve">China Guangzhou</w:t>
      </w:r>
      <w:r>
        <w:t xml:space="preserve"> </w:t>
      </w:r>
      <w:r>
        <w:t xml:space="preserve">is multifold:</w:t>
      </w:r>
    </w:p>
    <w:p>
      <w:pPr>
        <w:numPr>
          <w:ilvl w:val="0"/>
          <w:numId w:val="1006"/>
        </w:numPr>
        <w:pStyle w:val="Compact"/>
      </w:pPr>
      <w:r>
        <w:rPr>
          <w:iCs/>
          <w:i/>
        </w:rPr>
        <w:t xml:space="preserve">Public Health Impact:</w:t>
      </w:r>
      <w:r>
        <w:t xml:space="preserve"> </w:t>
      </w:r>
      <w:r>
        <w:t xml:space="preserve">Enhanced veterinary surveillance directly supports China’s "One Health" strategy, mitigating risks like SARS-CoV-2-like spillovers.</w:t>
      </w:r>
    </w:p>
    <w:p>
      <w:pPr>
        <w:numPr>
          <w:ilvl w:val="0"/>
          <w:numId w:val="1006"/>
        </w:numPr>
        <w:pStyle w:val="Compact"/>
      </w:pPr>
      <w:r>
        <w:rPr>
          <w:iCs/>
          <w:i/>
        </w:rPr>
        <w:t xml:space="preserve">Economic Value:</w:t>
      </w:r>
      <w:r>
        <w:t xml:space="preserve"> </w:t>
      </w:r>
      <w:r>
        <w:t xml:space="preserve">Every $1 invested in urban veterinary services yields $8.50 in reduced disease control costs (FAO estimate), critical for Guangzhou’s trade-dependent economy.</w:t>
      </w:r>
    </w:p>
    <w:p>
      <w:pPr>
        <w:numPr>
          <w:ilvl w:val="0"/>
          <w:numId w:val="1006"/>
        </w:numPr>
        <w:pStyle w:val="Compact"/>
      </w:pPr>
      <w:r>
        <w:rPr>
          <w:iCs/>
          <w:i/>
        </w:rPr>
        <w:t xml:space="preserve">Global Relevance:</w:t>
      </w:r>
      <w:r>
        <w:t xml:space="preserve"> </w:t>
      </w:r>
      <w:r>
        <w:t xml:space="preserve">As a model for megacities, the framework will inform WHO’s Urban Health Initiative and China’s Belt and Road veterinary cooperation programs.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Data Collection &amp; Analysis</w:t>
      </w:r>
    </w:p>
    <w:p>
      <w:pPr>
        <w:pStyle w:val="BodyText"/>
      </w:pPr>
      <w:r>
        <w:t xml:space="preserve">Clinic audits, stakeholder interviews, GIS mapping</w:t>
      </w:r>
    </w:p>
    <w:p>
      <w:pPr>
        <w:pStyle w:val="BodyText"/>
      </w:pPr>
      <w:r>
        <w:t xml:space="preserve">1–10</w:t>
      </w:r>
    </w:p>
    <w:p>
      <w:pPr>
        <w:pStyle w:val="BodyText"/>
      </w:pPr>
      <w:r>
        <w:t xml:space="preserve">AI Model Development</w:t>
      </w:r>
    </w:p>
    <w:p>
      <w:pPr>
        <w:pStyle w:val="BodyText"/>
      </w:pPr>
      <w:r>
        <w:t xml:space="preserve">Data integration, algorithm training, validation</w:t>
      </w:r>
    </w:p>
    <w:p>
      <w:pPr>
        <w:pStyle w:val="BodyText"/>
      </w:pPr>
      <w:r>
        <w:t xml:space="preserve">&lt; td&gt;6–14</w:t>
      </w:r>
    </w:p>
    <w:p>
      <w:pPr>
        <w:pStyle w:val="BodyText"/>
      </w:pPr>
      <w:r>
        <w:t xml:space="preserve">Pilot Testing &amp; Refinement</w:t>
      </w:r>
    </w:p>
    <w:p>
      <w:pPr>
        <w:pStyle w:val="BodyText"/>
      </w:pPr>
      <w:r>
        <w:t xml:space="preserve">Certified vet clinics in Yuexiu/Nansha districts; telemedicine trials</w:t>
      </w:r>
    </w:p>
    <w:p>
      <w:pPr>
        <w:pStyle w:val="BodyText"/>
      </w:pPr>
      <w:r>
        <w:t xml:space="preserve">12–16</w:t>
      </w:r>
    </w:p>
    <w:p>
      <w:pPr>
        <w:pStyle w:val="BodyText"/>
      </w:pPr>
      <w:r>
        <w:t xml:space="preserve">Policy Integration</w:t>
      </w:r>
    </w:p>
    <w:p>
      <w:pPr>
        <w:pStyle w:val="BodyText"/>
      </w:pPr>
      <w:r>
        <w:t xml:space="preserve">Workshops with Guangzhou Municipal Bureau, final report submission</w:t>
      </w:r>
    </w:p>
    <w:p>
      <w:pPr>
        <w:pStyle w:val="BodyText"/>
      </w:pPr>
      <w:r>
        <w:t xml:space="preserve">&lt; td&gt;15–18</w:t>
      </w:r>
    </w:p>
    <w:bookmarkEnd w:id="26"/>
    <w:bookmarkStart w:id="27" w:name="conclusion"/>
    <w:p>
      <w:pPr>
        <w:pStyle w:val="Heading2"/>
      </w:pPr>
      <w:r>
        <w:t xml:space="preserve">8. Conclusion</w:t>
      </w:r>
    </w:p>
    <w:p>
      <w:pPr>
        <w:pStyle w:val="FirstParagraph"/>
      </w:pPr>
      <w:r>
        <w:t xml:space="preserve">The veterinary profession in</w:t>
      </w:r>
      <w:r>
        <w:t xml:space="preserve"> </w:t>
      </w:r>
      <w:r>
        <w:rPr>
          <w:bCs/>
          <w:b/>
        </w:rPr>
        <w:t xml:space="preserve">China Guangzhou</w:t>
      </w:r>
      <w:r>
        <w:t xml:space="preserve"> </w:t>
      </w:r>
      <w:r>
        <w:t xml:space="preserve">stands at a pivotal juncture. This research proposal outlines a strategic roadmap to transform veterinarians from reactive caregivers into proactive guardians of urban health. By centering Guangzhou’s unique socio-ecological dynamics—its economic scale, climate vulnerability, and cultural ties to animal husbandry—we will deliver not just data, but actionable solutions that safeguard both human and animal populations. The outcomes will position Guangzhou as a leader in China’s "Smart City" veterinary revolution, directly contributing to national health goals while setting a precedent for cities worldwide grappling with similar urbanization challenges. Without this targeted intervention, the gap between veterinary capacity and public need will widen, endangering Guangzhou’s prosperity and global reputation as a resilient metropolis.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Services in Urban Guangzhou, China</dc:title>
  <dc:creator/>
  <dc:language>en</dc:language>
  <cp:keywords/>
  <dcterms:created xsi:type="dcterms:W3CDTF">2026-07-23T10:44:50Z</dcterms:created>
  <dcterms:modified xsi:type="dcterms:W3CDTF">2026-07-23T10:44:50Z</dcterms:modified>
</cp:coreProperties>
</file>

<file path=docProps/custom.xml><?xml version="1.0" encoding="utf-8"?>
<Properties xmlns="http://schemas.openxmlformats.org/officeDocument/2006/custom-properties" xmlns:vt="http://schemas.openxmlformats.org/officeDocument/2006/docPropsVTypes"/>
</file>