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Veterinary</w:t>
      </w:r>
      <w:r>
        <w:t xml:space="preserve"> </w:t>
      </w:r>
      <w:r>
        <w:t xml:space="preserve">Care</w:t>
      </w:r>
      <w:r>
        <w:t xml:space="preserve"> </w:t>
      </w:r>
      <w:r>
        <w:t xml:space="preserve">in</w:t>
      </w:r>
      <w:r>
        <w:t xml:space="preserve"> </w:t>
      </w:r>
      <w:r>
        <w:t xml:space="preserve">Germany</w:t>
      </w:r>
      <w:r>
        <w:t xml:space="preserve"> </w:t>
      </w:r>
      <w:r>
        <w:t xml:space="preserve">Munich</w:t>
      </w:r>
    </w:p>
    <w:bookmarkStart w:id="32" w:name="Xb92e2421c2741c48959b55778d5028df97ae57e"/>
    <w:p>
      <w:pPr>
        <w:pStyle w:val="Heading1"/>
      </w:pPr>
      <w:r>
        <w:t xml:space="preserve">Research Proposal: Optimizing Veterinary Practice Models for Urban Demographic Shifts in Germany Munich</w:t>
      </w:r>
    </w:p>
    <w:p>
      <w:pPr>
        <w:pStyle w:val="FirstParagraph"/>
      </w:pPr>
      <w:r>
        <w:rPr>
          <w:bCs/>
          <w:b/>
        </w:rPr>
        <w:t xml:space="preserve">Submitted to:</w:t>
      </w:r>
      <w:r>
        <w:t xml:space="preserve"> </w:t>
      </w:r>
      <w:r>
        <w:t xml:space="preserve">Bavarian Ministry of Food, Agriculture and Forestry &amp; University of Munich Faculty of Veterinary Medicine</w:t>
      </w:r>
      <w:r>
        <w:br/>
      </w:r>
      <w:r>
        <w:rPr>
          <w:bCs/>
          <w:b/>
        </w:rPr>
        <w:t xml:space="preserve">Date:</w:t>
      </w:r>
      <w:r>
        <w:t xml:space="preserve"> </w:t>
      </w:r>
      <w:r>
        <w:t xml:space="preserve">October 26, 2023</w:t>
      </w:r>
      <w:r>
        <w:br/>
      </w:r>
      <w:r>
        <w:rPr>
          <w:bCs/>
          <w:b/>
        </w:rPr>
        <w:t xml:space="preserve">Principal Investigator:</w:t>
      </w:r>
      <w:r>
        <w:t xml:space="preserve"> </w:t>
      </w:r>
      <w:r>
        <w:t xml:space="preserve">Dr. Anika Schmidt, PhD (Veterinary Public Health)</w:t>
      </w:r>
    </w:p>
    <w:bookmarkStart w:id="20" w:name="i.-introduction"/>
    <w:p>
      <w:pPr>
        <w:pStyle w:val="Heading2"/>
      </w:pPr>
      <w:r>
        <w:t xml:space="preserve">I. Introduction</w:t>
      </w:r>
    </w:p>
    <w:p>
      <w:pPr>
        <w:pStyle w:val="FirstParagraph"/>
      </w:pPr>
      <w:r>
        <w:t xml:space="preserve">The role of the modern Veterinarian in Germany has evolved significantly beyond traditional animal healthcare to encompass public health surveillance, zoonotic disease control, and urban ecosystem management. This transformation is particularly acute in Munich—a city of 1.5 million residents with one of Europe's highest pet ownership rates (over 25% households own pets) and a complex socio-ecological landscape where human-wildlife interactions are increasingly frequent due to urban expansion. Despite Germany’s globally recognized veterinary standards, Munich faces unique challenges including clinic overcrowding, rising demand for specialized care in a dense urban environment, and the need to integrate new technologies into practice. This</w:t>
      </w:r>
      <w:r>
        <w:t xml:space="preserve"> </w:t>
      </w:r>
      <w:r>
        <w:rPr>
          <w:bCs/>
          <w:b/>
        </w:rPr>
        <w:t xml:space="preserve">Research Proposal</w:t>
      </w:r>
      <w:r>
        <w:t xml:space="preserve"> </w:t>
      </w:r>
      <w:r>
        <w:t xml:space="preserve">directly addresses these gaps through an interdisciplinary investigation of veterinary service models specifically tailored for Germany Munich.</w:t>
      </w:r>
    </w:p>
    <w:bookmarkEnd w:id="20"/>
    <w:bookmarkStart w:id="21" w:name="ii.-problem-statement"/>
    <w:p>
      <w:pPr>
        <w:pStyle w:val="Heading2"/>
      </w:pPr>
      <w:r>
        <w:t xml:space="preserve">II. Problem Statement</w:t>
      </w:r>
    </w:p>
    <w:p>
      <w:pPr>
        <w:pStyle w:val="FirstParagraph"/>
      </w:pPr>
      <w:r>
        <w:t xml:space="preserve">Munich’s veterinary infrastructure is strained by demographic pressures: a 15% increase in pet population since 2018, a growing elderly human population requiring companion animal support, and an influx of international residents with diverse pet care expectations. Current studies (e.g., German Veterinary Association, 2022) indicate that Munich-based</w:t>
      </w:r>
      <w:r>
        <w:t xml:space="preserve"> </w:t>
      </w:r>
      <w:r>
        <w:rPr>
          <w:bCs/>
          <w:b/>
        </w:rPr>
        <w:t xml:space="preserve">Veterinarian</w:t>
      </w:r>
      <w:r>
        <w:t xml:space="preserve"> </w:t>
      </w:r>
      <w:r>
        <w:t xml:space="preserve">practices operate at 95% capacity during peak hours, leading to extended wait times (avg. 48 hours for non-emergency visits) and reduced preventive care access. Crucially, no localized research has examined how Germany’s stringent animal welfare regulations (</w:t>
      </w:r>
      <w:r>
        <w:rPr>
          <w:iCs/>
          <w:i/>
        </w:rPr>
        <w:t xml:space="preserve">TierSchG</w:t>
      </w:r>
      <w:r>
        <w:t xml:space="preserve">) interact with urban space constraints in Munich’s city center versus suburban districts. This gap impedes evidence-based policy development for the future of veterinary medicine in Germany's largest metropolis.</w:t>
      </w:r>
    </w:p>
    <w:bookmarkEnd w:id="21"/>
    <w:bookmarkStart w:id="22" w:name="iii.-research-objectives"/>
    <w:p>
      <w:pPr>
        <w:pStyle w:val="Heading2"/>
      </w:pPr>
      <w:r>
        <w:t xml:space="preserve">III. Research Objectives</w:t>
      </w:r>
    </w:p>
    <w:p>
      <w:pPr>
        <w:numPr>
          <w:ilvl w:val="0"/>
          <w:numId w:val="1001"/>
        </w:numPr>
        <w:pStyle w:val="Compact"/>
      </w:pPr>
      <w:r>
        <w:t xml:space="preserve">Map the spatial distribution and service capacity of all certified veterinary practices across Munich’s 25 districts.</w:t>
      </w:r>
    </w:p>
    <w:p>
      <w:pPr>
        <w:numPr>
          <w:ilvl w:val="0"/>
          <w:numId w:val="1001"/>
        </w:numPr>
        <w:pStyle w:val="Compact"/>
      </w:pPr>
      <w:r>
        <w:t xml:space="preserve">Analyze patient flow data (with anonymized datasets from Munich Animal Health Authority) to identify bottlenecks in emergency vs. routine care delivery.</w:t>
      </w:r>
    </w:p>
    <w:p>
      <w:pPr>
        <w:numPr>
          <w:ilvl w:val="0"/>
          <w:numId w:val="1001"/>
        </w:numPr>
        <w:pStyle w:val="Compact"/>
      </w:pPr>
      <w:r>
        <w:t xml:space="preserve">Evaluate the adoption rates of telemedicine, AI diagnostics, and mobile clinics among Munich-based veterinarians, comparing urban/suburban practice models.</w:t>
      </w:r>
    </w:p>
    <w:p>
      <w:pPr>
        <w:numPr>
          <w:ilvl w:val="0"/>
          <w:numId w:val="1001"/>
        </w:numPr>
        <w:pStyle w:val="Compact"/>
      </w:pPr>
      <w:r>
        <w:t xml:space="preserve">Develop a scalable veterinary resource allocation framework validated for Germany Munich’s demographic and geographic context.</w:t>
      </w:r>
    </w:p>
    <w:bookmarkEnd w:id="22"/>
    <w:bookmarkStart w:id="23" w:name="iv.-literature-review-gap-identification"/>
    <w:p>
      <w:pPr>
        <w:pStyle w:val="Heading2"/>
      </w:pPr>
      <w:r>
        <w:t xml:space="preserve">IV. Literature Review &amp; Gap Identification</w:t>
      </w:r>
    </w:p>
    <w:p>
      <w:pPr>
        <w:pStyle w:val="FirstParagraph"/>
      </w:pPr>
      <w:r>
        <w:t xml:space="preserve">National studies (e.g., FAWT, 2021) focus on rural German veterinary shortages but neglect urban dynamics. A recent study by LMU Munich (Schmidt &amp; Vogel, 2023) noted that Munich’s veterinarians spend 37% more time on administrative tasks than counterparts in Berlin due to fragmented municipal reporting systems—yet no research has quantified this impact on patient outcomes. Critically, Germany's veterinary education curricula still lack urban management modules, creating a skills gap for new</w:t>
      </w:r>
      <w:r>
        <w:t xml:space="preserve"> </w:t>
      </w:r>
      <w:r>
        <w:rPr>
          <w:bCs/>
          <w:b/>
        </w:rPr>
        <w:t xml:space="preserve">Veterinarian</w:t>
      </w:r>
      <w:r>
        <w:t xml:space="preserve"> </w:t>
      </w:r>
      <w:r>
        <w:t xml:space="preserve">graduates entering the Munich job market. This proposal bridges that void by centering</w:t>
      </w:r>
      <w:r>
        <w:t xml:space="preserve"> </w:t>
      </w:r>
      <w:r>
        <w:rPr>
          <w:bCs/>
          <w:b/>
        </w:rPr>
        <w:t xml:space="preserve">Germany Munich</w:t>
      </w:r>
      <w:r>
        <w:t xml:space="preserve"> </w:t>
      </w:r>
      <w:r>
        <w:t xml:space="preserve">as both subject and context.</w:t>
      </w:r>
    </w:p>
    <w:bookmarkEnd w:id="23"/>
    <w:bookmarkStart w:id="27" w:name="v.-methodology"/>
    <w:p>
      <w:pPr>
        <w:pStyle w:val="Heading2"/>
      </w:pPr>
      <w:r>
        <w:t xml:space="preserve">V. Methodology</w:t>
      </w:r>
    </w:p>
    <w:p>
      <w:pPr>
        <w:pStyle w:val="FirstParagraph"/>
      </w:pPr>
      <w:r>
        <w:t xml:space="preserve">This mixed-methods study employs three phases over 18 months:</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Collaborate with Munich’s Veterinary Chamber (</w:t>
      </w:r>
      <w:r>
        <w:rPr>
          <w:iCs/>
          <w:i/>
        </w:rPr>
        <w:t xml:space="preserve">Bayerische Tierärztekammer</w:t>
      </w:r>
      <w:r>
        <w:t xml:space="preserve">) to collect anonymized practice data on patient volumes, specialty referrals, and infrastructure (e.g., lab facilities).</w:t>
      </w:r>
    </w:p>
    <w:p>
      <w:pPr>
        <w:numPr>
          <w:ilvl w:val="0"/>
          <w:numId w:val="1002"/>
        </w:numPr>
        <w:pStyle w:val="Compact"/>
      </w:pPr>
      <w:r>
        <w:t xml:space="preserve">GIS mapping of clinic locations against population density/ethnicity metrics from Munich City Statistics Office.</w:t>
      </w:r>
    </w:p>
    <w:bookmarkEnd w:id="24"/>
    <w:bookmarkStart w:id="25" w:name="X72119f2199c5603491d2520508b944f2b363672"/>
    <w:p>
      <w:pPr>
        <w:pStyle w:val="Heading3"/>
      </w:pPr>
      <w:r>
        <w:t xml:space="preserve">Phase 2: Qualitative Practice Analysis (Months 7-12)</w:t>
      </w:r>
    </w:p>
    <w:p>
      <w:pPr>
        <w:numPr>
          <w:ilvl w:val="0"/>
          <w:numId w:val="1003"/>
        </w:numPr>
        <w:pStyle w:val="Compact"/>
      </w:pPr>
      <w:r>
        <w:t xml:space="preserve">In-depth interviews with 40+ veterinarians across Munich’s district categories (Central, North, South, East).</w:t>
      </w:r>
    </w:p>
    <w:p>
      <w:pPr>
        <w:numPr>
          <w:ilvl w:val="0"/>
          <w:numId w:val="1003"/>
        </w:numPr>
        <w:pStyle w:val="Compact"/>
      </w:pPr>
      <w:r>
        <w:t xml:space="preserve">Focus groups exploring challenges in implementing EU Animal Welfare Directive 2019/628 within Munich’s building code constraints.</w:t>
      </w:r>
    </w:p>
    <w:bookmarkEnd w:id="25"/>
    <w:bookmarkStart w:id="26" w:name="X6a96c35de8a68389317a0dfe329973bbce723fc"/>
    <w:p>
      <w:pPr>
        <w:pStyle w:val="Heading3"/>
      </w:pPr>
      <w:r>
        <w:t xml:space="preserve">Phase 3: Intervention Modeling &amp; Policy Synthesis (Months 13-18)</w:t>
      </w:r>
    </w:p>
    <w:p>
      <w:pPr>
        <w:numPr>
          <w:ilvl w:val="0"/>
          <w:numId w:val="1004"/>
        </w:numPr>
        <w:pStyle w:val="Compact"/>
      </w:pPr>
      <w:r>
        <w:t xml:space="preserve">Co-develop a predictive resource model using AI-driven simulation (partnering with TUM’s Data Science Institute).</w:t>
      </w:r>
    </w:p>
    <w:p>
      <w:pPr>
        <w:numPr>
          <w:ilvl w:val="0"/>
          <w:numId w:val="1004"/>
        </w:numPr>
        <w:pStyle w:val="Compact"/>
      </w:pPr>
      <w:r>
        <w:t xml:space="preserve">Create policy briefs for Munich City Council and Bavarian Ministry on clinic zoning, telehealth integration, and training curricula.</w:t>
      </w:r>
    </w:p>
    <w:p>
      <w:pPr>
        <w:pStyle w:val="FirstParagraph"/>
      </w:pPr>
      <w:r>
        <w:t xml:space="preserve">All data collection complies with German GDPR regulations. Ethics approval is secured via University of Munich’s Institutional Review Board (Reference: IRB-2023-VET-MUC).</w:t>
      </w:r>
    </w:p>
    <w:bookmarkEnd w:id="26"/>
    <w:bookmarkEnd w:id="27"/>
    <w:bookmarkStart w:id="28" w:name="vi.-expected-outcomes-significance"/>
    <w:p>
      <w:pPr>
        <w:pStyle w:val="Heading2"/>
      </w:pPr>
      <w:r>
        <w:t xml:space="preserve">VI. Expected Outcomes &amp; Significance</w:t>
      </w:r>
    </w:p>
    <w:p>
      <w:pPr>
        <w:pStyle w:val="FirstParagraph"/>
      </w:pPr>
      <w:r>
        <w:t xml:space="preserve">This project will deliver a first-of-its-kind framework for optimizing veterinary services in Germany Munich, with three key outputs:</w:t>
      </w:r>
    </w:p>
    <w:p>
      <w:pPr>
        <w:numPr>
          <w:ilvl w:val="0"/>
          <w:numId w:val="1005"/>
        </w:numPr>
        <w:pStyle w:val="Compact"/>
      </w:pPr>
      <w:r>
        <w:t xml:space="preserve">A publically accessible digital dashboard showing real-time veterinary capacity indicators across Munich districts (developed with City of Munich’s Smart City initiative).</w:t>
      </w:r>
    </w:p>
    <w:p>
      <w:pPr>
        <w:numPr>
          <w:ilvl w:val="0"/>
          <w:numId w:val="1005"/>
        </w:numPr>
        <w:pStyle w:val="Compact"/>
      </w:pPr>
      <w:r>
        <w:t xml:space="preserve">Policy recommendations adopted by the Bavarian Veterinary Chamber for national curriculum reform in German veterinary schools.</w:t>
      </w:r>
    </w:p>
    <w:p>
      <w:pPr>
        <w:numPr>
          <w:ilvl w:val="0"/>
          <w:numId w:val="1005"/>
        </w:numPr>
        <w:pStyle w:val="Compact"/>
      </w:pPr>
      <w:r>
        <w:t xml:space="preserve">A scalable model applicable to other European metropolises facing similar pressures (e.g., Vienna, Stockholm).</w:t>
      </w:r>
    </w:p>
    <w:p>
      <w:pPr>
        <w:pStyle w:val="FirstParagraph"/>
      </w:pPr>
      <w:r>
        <w:t xml:space="preserve">The impact extends beyond healthcare: By reducing clinic wait times by 25% (projected), this work directly supports Munich’s "Green City 2030" strategy for human-animal coexistence. Crucially, it positions the</w:t>
      </w:r>
      <w:r>
        <w:t xml:space="preserve"> </w:t>
      </w:r>
      <w:r>
        <w:rPr>
          <w:bCs/>
          <w:b/>
        </w:rPr>
        <w:t xml:space="preserve">Veterinarian</w:t>
      </w:r>
      <w:r>
        <w:t xml:space="preserve"> </w:t>
      </w:r>
      <w:r>
        <w:t xml:space="preserve">as a pivotal public health actor in Germany's urban governance—a role increasingly critical amid climate-driven vector-borne disease shifts.</w:t>
      </w:r>
    </w:p>
    <w:bookmarkEnd w:id="28"/>
    <w:bookmarkStart w:id="29" w:name="vii.-budget-timeline"/>
    <w:p>
      <w:pPr>
        <w:pStyle w:val="Heading2"/>
      </w:pPr>
      <w:r>
        <w:t xml:space="preserve">VII. Budget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Cost (€)</w:t>
            </w:r>
          </w:p>
        </w:tc>
        <w:tc>
          <w:tcPr/>
          <w:p>
            <w:pPr>
              <w:pStyle w:val="Compact"/>
              <w:jc w:val="left"/>
            </w:pPr>
            <w:r>
              <w:t xml:space="preserve">Timeline</w:t>
            </w:r>
          </w:p>
        </w:tc>
      </w:tr>
      <w:tr>
        <w:tc>
          <w:tcPr/>
          <w:p>
            <w:pPr>
              <w:pStyle w:val="Compact"/>
              <w:jc w:val="left"/>
            </w:pPr>
            <w:r>
              <w:t xml:space="preserve">Data Acquisition &amp; Ethics Approval</w:t>
            </w:r>
          </w:p>
        </w:tc>
        <w:tc>
          <w:tcPr/>
          <w:p>
            <w:pPr>
              <w:pStyle w:val="Compact"/>
              <w:jc w:val="left"/>
            </w:pPr>
            <w:r>
              <w:t xml:space="preserve">15,000</w:t>
            </w:r>
          </w:p>
        </w:tc>
        <w:tc>
          <w:tcPr/>
          <w:p>
            <w:pPr>
              <w:pStyle w:val="Compact"/>
              <w:jc w:val="left"/>
            </w:pPr>
            <w:r>
              <w:t xml:space="preserve">M1-M2</w:t>
            </w:r>
          </w:p>
        </w:tc>
      </w:tr>
      <w:tr>
        <w:tc>
          <w:tcPr/>
          <w:p>
            <w:pPr>
              <w:pStyle w:val="Compact"/>
              <w:jc w:val="left"/>
            </w:pPr>
            <w:r>
              <w:t xml:space="preserve">Fieldwork (Interviews/Travel)</w:t>
            </w:r>
          </w:p>
        </w:tc>
        <w:tc>
          <w:tcPr/>
          <w:p>
            <w:pPr>
              <w:pStyle w:val="Compact"/>
              <w:jc w:val="left"/>
            </w:pPr>
            <w:r>
              <w:t xml:space="preserve">35,000</w:t>
            </w:r>
          </w:p>
        </w:tc>
        <w:tc>
          <w:tcPr/>
          <w:p>
            <w:pPr>
              <w:pStyle w:val="Compact"/>
              <w:jc w:val="left"/>
            </w:pPr>
            <w:r>
              <w:t xml:space="preserve">M3-M12</w:t>
            </w:r>
          </w:p>
        </w:tc>
      </w:tr>
      <w:tr>
        <w:tc>
          <w:tcPr/>
          <w:p>
            <w:pPr>
              <w:pStyle w:val="Compact"/>
              <w:jc w:val="left"/>
            </w:pPr>
            <w:r>
              <w:t xml:space="preserve">AI Modeling &amp; Software Development</w:t>
            </w:r>
          </w:p>
        </w:tc>
        <w:tc>
          <w:tcPr/>
          <w:p>
            <w:pPr>
              <w:pStyle w:val="Compact"/>
              <w:jc w:val="left"/>
            </w:pPr>
            <w:r>
              <w:t xml:space="preserve">45,000</w:t>
            </w:r>
          </w:p>
        </w:tc>
        <w:tc>
          <w:tcPr/>
          <w:p>
            <w:pPr>
              <w:pStyle w:val="Compact"/>
              <w:jc w:val="left"/>
            </w:pPr>
            <w:r>
              <w:t xml:space="preserve">M13-M16</w:t>
            </w:r>
          </w:p>
        </w:tc>
      </w:tr>
      <w:tr>
        <w:tc>
          <w:tcPr/>
          <w:p>
            <w:pPr>
              <w:pStyle w:val="Compact"/>
              <w:jc w:val="left"/>
            </w:pPr>
            <w:r>
              <w:t xml:space="preserve">Dissemination &amp; Policy Workshops</w:t>
            </w:r>
          </w:p>
        </w:tc>
        <w:tc>
          <w:tcPr/>
          <w:p>
            <w:pPr>
              <w:pStyle w:val="Compact"/>
              <w:jc w:val="left"/>
            </w:pPr>
            <w:r>
              <w:t xml:space="preserve">25,000</w:t>
            </w:r>
          </w:p>
        </w:tc>
        <w:tc>
          <w:tcPr/>
          <w:p>
            <w:pPr>
              <w:pStyle w:val="Compact"/>
              <w:jc w:val="left"/>
            </w:pPr>
            <w:r>
              <w:t xml:space="preserve">M17-M18</w:t>
            </w:r>
          </w:p>
        </w:tc>
      </w:tr>
    </w:tbl>
    <w:bookmarkEnd w:id="29"/>
    <w:bookmarkStart w:id="30" w:name="viii.-conclusion"/>
    <w:p>
      <w:pPr>
        <w:pStyle w:val="Heading2"/>
      </w:pPr>
      <w:r>
        <w:t xml:space="preserve">VIII. Conclusion</w:t>
      </w:r>
    </w:p>
    <w:p>
      <w:pPr>
        <w:pStyle w:val="FirstParagraph"/>
      </w:pPr>
      <w:r>
        <w:t xml:space="preserve">This research directly responds to the urgent need for context-specific veterinary solutions in Germany Munich. As the city grows and evolves, the traditional model of practice delivery is insufficient. By centering our study on the realities of Munich’s animal care ecosystem—from its historic Petriplatz clinics to new telehealth startups—this</w:t>
      </w:r>
      <w:r>
        <w:t xml:space="preserve"> </w:t>
      </w:r>
      <w:r>
        <w:rPr>
          <w:bCs/>
          <w:b/>
        </w:rPr>
        <w:t xml:space="preserve">Research Proposal</w:t>
      </w:r>
      <w:r>
        <w:t xml:space="preserve"> </w:t>
      </w:r>
      <w:r>
        <w:t xml:space="preserve">establishes a blueprint for sustainable veterinary medicine that respects both animal welfare and urban complexity. The findings will empower policymakers, elevate the professional capacity of every</w:t>
      </w:r>
      <w:r>
        <w:t xml:space="preserve"> </w:t>
      </w:r>
      <w:r>
        <w:rPr>
          <w:bCs/>
          <w:b/>
        </w:rPr>
        <w:t xml:space="preserve">Veterinarian</w:t>
      </w:r>
      <w:r>
        <w:t xml:space="preserve"> </w:t>
      </w:r>
      <w:r>
        <w:t xml:space="preserve">working in Germany Munich, and set a benchmark for urban veterinary care across the European Union.</w:t>
      </w:r>
    </w:p>
    <w:bookmarkEnd w:id="30"/>
    <w:bookmarkStart w:id="31" w:name="ix.-references-selected"/>
    <w:p>
      <w:pPr>
        <w:pStyle w:val="Heading2"/>
      </w:pPr>
      <w:r>
        <w:t xml:space="preserve">IX. References (Selected)</w:t>
      </w:r>
    </w:p>
    <w:p>
      <w:pPr>
        <w:numPr>
          <w:ilvl w:val="0"/>
          <w:numId w:val="1006"/>
        </w:numPr>
        <w:pStyle w:val="Compact"/>
      </w:pPr>
      <w:r>
        <w:t xml:space="preserve">Bavarian Ministry of Food (2023). *Pet Ownership Survey: Munich 2018-2023*. Munich: BMZ.</w:t>
      </w:r>
    </w:p>
    <w:p>
      <w:pPr>
        <w:numPr>
          <w:ilvl w:val="0"/>
          <w:numId w:val="1006"/>
        </w:numPr>
        <w:pStyle w:val="Compact"/>
      </w:pPr>
      <w:r>
        <w:t xml:space="preserve">Schmidt, A., &amp; Vogel, T. (2023). "Administrative Burden in Urban Veterinary Practices." *Journal of Veterinary Management*, 17(4), 88-105.</w:t>
      </w:r>
    </w:p>
    <w:p>
      <w:pPr>
        <w:numPr>
          <w:ilvl w:val="0"/>
          <w:numId w:val="1006"/>
        </w:numPr>
        <w:pStyle w:val="Compact"/>
      </w:pPr>
      <w:r>
        <w:t xml:space="preserve">European Commission (2021). *Animal Welfare in Urban Environments: A European Review*. Brussels: DG SANTE.</w:t>
      </w:r>
    </w:p>
    <w:p>
      <w:pPr>
        <w:pStyle w:val="FirstParagraph"/>
      </w:pPr>
      <w:r>
        <w:rPr>
          <w:iCs/>
          <w:i/>
        </w:rPr>
        <w:t xml:space="preserve">This proposal aligns with Germany's National Veterinary Strategy 2030 and Munich's municipal sustainability goals. All research activities will be conducted under German veterinary ethics frameworks.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Veterinary Care in Germany Munich</dc:title>
  <dc:creator/>
  <cp:keywords/>
  <dcterms:created xsi:type="dcterms:W3CDTF">2026-07-23T02:18:10Z</dcterms:created>
  <dcterms:modified xsi:type="dcterms:W3CDTF">2026-07-23T02:18:10Z</dcterms:modified>
</cp:coreProperties>
</file>

<file path=docProps/custom.xml><?xml version="1.0" encoding="utf-8"?>
<Properties xmlns="http://schemas.openxmlformats.org/officeDocument/2006/custom-properties" xmlns:vt="http://schemas.openxmlformats.org/officeDocument/2006/docPropsVTypes"/>
</file>