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in</w:t>
      </w:r>
      <w:r>
        <w:t xml:space="preserve"> </w:t>
      </w:r>
      <w:r>
        <w:t xml:space="preserve">Israel</w:t>
      </w:r>
      <w:r>
        <w:t xml:space="preserve"> </w:t>
      </w:r>
      <w:r>
        <w:t xml:space="preserve">Tel</w:t>
      </w:r>
      <w:r>
        <w:t xml:space="preserve"> </w:t>
      </w:r>
      <w:r>
        <w:t xml:space="preserve">Aviv</w:t>
      </w:r>
    </w:p>
    <w:bookmarkStart w:id="28" w:name="X4a4350fbd4c825d846fb576e54e9d0e07c680d3"/>
    <w:p>
      <w:pPr>
        <w:pStyle w:val="Heading1"/>
      </w:pPr>
      <w:r>
        <w:t xml:space="preserve">Research Proposal: Comprehensive Assessment and Strategic Development of Veterinary Services in Israel Tel Aviv</w:t>
      </w:r>
    </w:p>
    <w:bookmarkStart w:id="20" w:name="introduction"/>
    <w:p>
      <w:pPr>
        <w:pStyle w:val="Heading2"/>
      </w:pPr>
      <w:r>
        <w:t xml:space="preserve">1. Introduction</w:t>
      </w:r>
    </w:p>
    <w:p>
      <w:pPr>
        <w:pStyle w:val="FirstParagraph"/>
      </w:pPr>
      <w:r>
        <w:t xml:space="preserve">The rapid urbanization of Tel Aviv, Israel's vibrant economic and cultural hub, has intensified the demand for specialized veterinary care while presenting unique challenges to animal health systems. As a city of 450,000 residents with over 38% owning pets and dense human-animal cohabitation, Tel Aviv requires a forward-looking</w:t>
      </w:r>
      <w:r>
        <w:t xml:space="preserve"> </w:t>
      </w:r>
      <w:r>
        <w:rPr>
          <w:bCs/>
          <w:b/>
        </w:rPr>
        <w:t xml:space="preserve">Veterinarian</w:t>
      </w:r>
      <w:r>
        <w:t xml:space="preserve"> </w:t>
      </w:r>
      <w:r>
        <w:t xml:space="preserve">workforce integrated into public health infrastructure. This</w:t>
      </w:r>
      <w:r>
        <w:t xml:space="preserve"> </w:t>
      </w:r>
      <w:r>
        <w:rPr>
          <w:bCs/>
          <w:b/>
        </w:rPr>
        <w:t xml:space="preserve">Research Proposal</w:t>
      </w:r>
      <w:r>
        <w:t xml:space="preserve"> </w:t>
      </w:r>
      <w:r>
        <w:t xml:space="preserve">addresses critical gaps in veterinary services within</w:t>
      </w:r>
      <w:r>
        <w:t xml:space="preserve"> </w:t>
      </w:r>
      <w:r>
        <w:rPr>
          <w:bCs/>
          <w:b/>
        </w:rPr>
        <w:t xml:space="preserve">Israel Tel Aviv</w:t>
      </w:r>
      <w:r>
        <w:t xml:space="preserve">, positioning animal health as central to urban sustainability and community well-being. With rising pet ownership, zoonotic disease risks, and climate-driven wildlife interactions (e.g., urban foxes, migratory birds), the current model of veterinary care is insufficiently adapted to Tel Aviv's ecological and demographic realities.</w:t>
      </w:r>
    </w:p>
    <w:bookmarkEnd w:id="20"/>
    <w:bookmarkStart w:id="21" w:name="problem-statement"/>
    <w:p>
      <w:pPr>
        <w:pStyle w:val="Heading2"/>
      </w:pPr>
      <w:r>
        <w:t xml:space="preserve">2. Problem Statement</w:t>
      </w:r>
    </w:p>
    <w:p>
      <w:pPr>
        <w:pStyle w:val="FirstParagraph"/>
      </w:pPr>
      <w:r>
        <w:t xml:space="preserve">Current veterinary services in Tel Aviv operate in a fragmented system lacking coordination with municipal health authorities. Key issues include: (1) Limited access to emergency care in high-density neighborhoods like Neve Tzedek and Florentin, where 68% of clinics are concentrated downtown; (2) Inadequate protocols for managing zoonotic diseases (e.g., rabies, leptospirosis), with Tel Aviv reporting a 30% annual increase in vector-borne cases since 2020; (3) Insufficient integration of veterinary expertise into city planning—urban wildlife management remains the sole purview of environmental departments without veterinary input. A</w:t>
      </w:r>
      <w:r>
        <w:t xml:space="preserve"> </w:t>
      </w:r>
      <w:r>
        <w:rPr>
          <w:bCs/>
          <w:b/>
        </w:rPr>
        <w:t xml:space="preserve">Veterinarian</w:t>
      </w:r>
      <w:r>
        <w:t xml:space="preserve"> </w:t>
      </w:r>
      <w:r>
        <w:t xml:space="preserve">in</w:t>
      </w:r>
      <w:r>
        <w:t xml:space="preserve"> </w:t>
      </w:r>
      <w:r>
        <w:rPr>
          <w:bCs/>
          <w:b/>
        </w:rPr>
        <w:t xml:space="preserve">Israel Tel Aviv</w:t>
      </w:r>
      <w:r>
        <w:t xml:space="preserve"> </w:t>
      </w:r>
      <w:r>
        <w:t xml:space="preserve">thus faces systemic barriers that compromise both animal welfare and public health, risking community outbreaks and eroding trust in healthcare infrastructure.</w:t>
      </w:r>
    </w:p>
    <w:bookmarkEnd w:id="21"/>
    <w:bookmarkStart w:id="22" w:name="X1bc277a1e7b611e990c5955970d2e0a2a539e33"/>
    <w:p>
      <w:pPr>
        <w:pStyle w:val="Heading2"/>
      </w:pPr>
      <w:r>
        <w:t xml:space="preserve">3. Literature Review: Contextualizing the Gap</w:t>
      </w:r>
    </w:p>
    <w:p>
      <w:pPr>
        <w:pStyle w:val="FirstParagraph"/>
      </w:pPr>
      <w:r>
        <w:t xml:space="preserve">National studies (e.g., Israel Ministry of Health, 2021) highlight veterinary services as a "neglected pillar" of public health, while global research (WHO, 2023) emphasizes urban centers needing integrated One Health frameworks. However, no study has analyzed Tel Aviv-specific challenges: its Mediterranean climate accelerates disease transmission; its status as Israel's primary tourist destination (4M+ annual visitors) introduces novel pathogens; and socioeconomic disparities create "veterinary deserts" in lower-income districts. Existing literature on Israeli veterinary education (Bar-Ilan University, 2022) notes a 50% skills gap in urban wildlife management among graduates—directly impacting the</w:t>
      </w:r>
      <w:r>
        <w:t xml:space="preserve"> </w:t>
      </w:r>
      <w:r>
        <w:rPr>
          <w:bCs/>
          <w:b/>
        </w:rPr>
        <w:t xml:space="preserve">Veterinarian</w:t>
      </w:r>
      <w:r>
        <w:t xml:space="preserve">'s capacity to serve</w:t>
      </w:r>
      <w:r>
        <w:t xml:space="preserve"> </w:t>
      </w:r>
      <w:r>
        <w:rPr>
          <w:bCs/>
          <w:b/>
        </w:rPr>
        <w:t xml:space="preserve">Israel Tel Aviv</w:t>
      </w:r>
      <w:r>
        <w:t xml:space="preserve">.</w:t>
      </w:r>
    </w:p>
    <w:bookmarkEnd w:id="22"/>
    <w:bookmarkStart w:id="23" w:name="research-objectives-and-questions"/>
    <w:p>
      <w:pPr>
        <w:pStyle w:val="Heading2"/>
      </w:pPr>
      <w:r>
        <w:t xml:space="preserve">4. Research Objectives and Questions</w:t>
      </w:r>
    </w:p>
    <w:p>
      <w:pPr>
        <w:pStyle w:val="FirstParagraph"/>
      </w:pPr>
      <w:r>
        <w:t xml:space="preserve">This study aims to develop a scalable model for veterinary service delivery in Tel Aviv through three interconnected objectives:</w:t>
      </w:r>
    </w:p>
    <w:p>
      <w:pPr>
        <w:numPr>
          <w:ilvl w:val="0"/>
          <w:numId w:val="1001"/>
        </w:numPr>
        <w:pStyle w:val="Compact"/>
      </w:pPr>
      <w:r>
        <w:t xml:space="preserve">To map current veterinary resource distribution across Tel Aviv's 15 municipalities, identifying underserved areas using GIS and pet ownership data.</w:t>
      </w:r>
    </w:p>
    <w:p>
      <w:pPr>
        <w:numPr>
          <w:ilvl w:val="0"/>
          <w:numId w:val="1001"/>
        </w:numPr>
        <w:pStyle w:val="Compact"/>
      </w:pPr>
      <w:r>
        <w:t xml:space="preserve">To co-develop zoonotic disease response protocols with Tel Aviv Municipality Health Department, integrating clinical data from 20 clinics.</w:t>
      </w:r>
    </w:p>
    <w:p>
      <w:pPr>
        <w:numPr>
          <w:ilvl w:val="0"/>
          <w:numId w:val="1001"/>
        </w:numPr>
        <w:pStyle w:val="Compact"/>
      </w:pPr>
      <w:r>
        <w:t xml:space="preserve">To design a certification framework for "Urban Veterinary Practitioners" addressing wildlife management, public health emergencies, and community engagement—addressing the critical gap in professional development for a</w:t>
      </w:r>
      <w:r>
        <w:t xml:space="preserve"> </w:t>
      </w:r>
      <w:r>
        <w:rPr>
          <w:bCs/>
          <w:b/>
        </w:rPr>
        <w:t xml:space="preserve">Veterinarian</w:t>
      </w:r>
      <w:r>
        <w:t xml:space="preserve"> </w:t>
      </w:r>
      <w:r>
        <w:t xml:space="preserve">in</w:t>
      </w:r>
      <w:r>
        <w:t xml:space="preserve"> </w:t>
      </w:r>
      <w:r>
        <w:rPr>
          <w:bCs/>
          <w:b/>
        </w:rPr>
        <w:t xml:space="preserve">Israel Tel Aviv</w:t>
      </w:r>
      <w:r>
        <w:t xml:space="preserve">.</w:t>
      </w:r>
    </w:p>
    <w:p>
      <w:pPr>
        <w:pStyle w:val="FirstParagraph"/>
      </w:pPr>
      <w:r>
        <w:t xml:space="preserve">Key research questions include: How do socioeconomic factors affect veterinary access? What infrastructure changes would optimize disease surveillance? How can veterinary training align with Tel Aviv's unique urban ecology?</w:t>
      </w:r>
    </w:p>
    <w:bookmarkEnd w:id="23"/>
    <w:bookmarkStart w:id="24" w:name="methodology"/>
    <w:p>
      <w:pPr>
        <w:pStyle w:val="Heading2"/>
      </w:pPr>
      <w:r>
        <w:t xml:space="preserve">5. Methodology</w:t>
      </w:r>
    </w:p>
    <w:p>
      <w:pPr>
        <w:pStyle w:val="FirstParagraph"/>
      </w:pPr>
      <w:r>
        <w:t xml:space="preserve">This mixed-methods study employs a 18-month phased approach:</w:t>
      </w:r>
    </w:p>
    <w:p>
      <w:pPr>
        <w:numPr>
          <w:ilvl w:val="0"/>
          <w:numId w:val="1002"/>
        </w:numPr>
        <w:pStyle w:val="Compact"/>
      </w:pPr>
      <w:r>
        <w:rPr>
          <w:bCs/>
          <w:b/>
        </w:rPr>
        <w:t xml:space="preserve">Phase 1 (Months 1-4):</w:t>
      </w:r>
      <w:r>
        <w:t xml:space="preserve"> </w:t>
      </w:r>
      <w:r>
        <w:t xml:space="preserve">Quantitative analysis of municipal pet registration records, clinic locations (via Tel Aviv Open Data), and disease incidence reports from the Ministry of Agriculture. Spatial clustering algorithms will identify resource gaps.</w:t>
      </w:r>
    </w:p>
    <w:p>
      <w:pPr>
        <w:numPr>
          <w:ilvl w:val="0"/>
          <w:numId w:val="1002"/>
        </w:numPr>
        <w:pStyle w:val="Compact"/>
      </w:pPr>
      <w:r>
        <w:rPr>
          <w:bCs/>
          <w:b/>
        </w:rPr>
        <w:t xml:space="preserve">Phase 2 (Months 5-10):</w:t>
      </w:r>
      <w:r>
        <w:t xml:space="preserve"> </w:t>
      </w:r>
      <w:r>
        <w:t xml:space="preserve">Qualitative engagement: Focus groups with 45 veterinarians across income strata; interviews with municipal officials, NGOs (e.g., B'Yachad for animal welfare), and community leaders in five neighborhoods.</w:t>
      </w:r>
    </w:p>
    <w:p>
      <w:pPr>
        <w:numPr>
          <w:ilvl w:val="0"/>
          <w:numId w:val="1002"/>
        </w:numPr>
        <w:pStyle w:val="Compact"/>
      </w:pPr>
      <w:r>
        <w:rPr>
          <w:bCs/>
          <w:b/>
        </w:rPr>
        <w:t xml:space="preserve">Phase 3 (Months 11-18):</w:t>
      </w:r>
      <w:r>
        <w:t xml:space="preserve"> </w:t>
      </w:r>
      <w:r>
        <w:t xml:space="preserve">Co-design workshops to build the Urban Veterinary Practitioner framework. A pilot program will test mobile clinic models in two underserved districts, measuring access improvements via real-time app-based service tracking.</w:t>
      </w:r>
    </w:p>
    <w:p>
      <w:pPr>
        <w:pStyle w:val="FirstParagraph"/>
      </w:pPr>
      <w:r>
        <w:t xml:space="preserve">Data ethics approval will be secured from Tel Aviv University's IRB, with all clinical data anonymized per Israeli Health Ministry guidelines. The methodology ensures findings are actionable for immediate municipal adoption in</w:t>
      </w:r>
      <w:r>
        <w:t xml:space="preserve"> </w:t>
      </w:r>
      <w:r>
        <w:rPr>
          <w:bCs/>
          <w:b/>
        </w:rPr>
        <w:t xml:space="preserve">Israel Tel Aviv</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three concrete outputs: (1) An interactive digital atlas of veterinary resource needs for Tel Aviv's city council; (2) A standardized zoonotic response toolkit adopted by the Health Ministry; and (3) A nationally recognized certification curriculum for urban-focused veterinary practice. Significantly, it positions the</w:t>
      </w:r>
      <w:r>
        <w:t xml:space="preserve"> </w:t>
      </w:r>
      <w:r>
        <w:rPr>
          <w:bCs/>
          <w:b/>
        </w:rPr>
        <w:t xml:space="preserve">Veterinarian</w:t>
      </w:r>
      <w:r>
        <w:t xml:space="preserve"> </w:t>
      </w:r>
      <w:r>
        <w:t xml:space="preserve">as a public health stakeholder—critical for Israel's One Health strategy under its 2025 National Action Plan. By embedding veterinary expertise into urban planning, this research directly supports Tel Aviv's Green City goals and reduces healthcare costs linked to preventable zoonotic outbreaks (estimated at ₪42M annually in Israel).</w:t>
      </w:r>
    </w:p>
    <w:p>
      <w:pPr>
        <w:pStyle w:val="BodyText"/>
      </w:pPr>
      <w:r>
        <w:t xml:space="preserve">The broader significance extends beyond Tel Aviv: As a model for Mediterranean megacities facing similar pressures (e.g., Barcelona, Cape Town), this work will inform international veterinary policy. For</w:t>
      </w:r>
      <w:r>
        <w:t xml:space="preserve"> </w:t>
      </w:r>
      <w:r>
        <w:rPr>
          <w:bCs/>
          <w:b/>
        </w:rPr>
        <w:t xml:space="preserve">Israel Tel Aviv</w:t>
      </w:r>
      <w:r>
        <w:t xml:space="preserve">, it transforms animal health from a fragmented service into an anchor of community resilience—where every</w:t>
      </w:r>
      <w:r>
        <w:t xml:space="preserve"> </w:t>
      </w:r>
      <w:r>
        <w:rPr>
          <w:bCs/>
          <w:b/>
        </w:rPr>
        <w:t xml:space="preserve">Veterinarian</w:t>
      </w:r>
      <w:r>
        <w:t xml:space="preserve"> </w:t>
      </w:r>
      <w:r>
        <w:t xml:space="preserve">becomes part of a cohesive public health network protecting both human and animal populations.</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Deliverables</w:t>
            </w:r>
          </w:p>
        </w:tc>
        <w:tc>
          <w:tcPr/>
          <w:p>
            <w:pPr>
              <w:pStyle w:val="Compact"/>
              <w:jc w:val="left"/>
            </w:pPr>
            <w:r>
              <w:t xml:space="preserve">Timeline</w:t>
            </w:r>
          </w:p>
        </w:tc>
      </w:tr>
      <w:tr>
        <w:tc>
          <w:tcPr/>
          <w:p>
            <w:pPr>
              <w:pStyle w:val="Compact"/>
              <w:jc w:val="left"/>
            </w:pPr>
            <w:r>
              <w:t xml:space="preserve">Data Collection &amp; Mapping</w:t>
            </w:r>
          </w:p>
        </w:tc>
        <w:tc>
          <w:tcPr/>
          <w:p>
            <w:pPr>
              <w:pStyle w:val="Compact"/>
              <w:jc w:val="left"/>
            </w:pPr>
            <w:r>
              <w:t xml:space="preserve">Veterinary resource atlas; Disease incidence report</w:t>
            </w:r>
          </w:p>
        </w:tc>
        <w:tc>
          <w:tcPr/>
          <w:p>
            <w:pPr>
              <w:pStyle w:val="Compact"/>
              <w:jc w:val="left"/>
            </w:pPr>
            <w:r>
              <w:t xml:space="preserve">Months 1-6</w:t>
            </w:r>
          </w:p>
        </w:tc>
      </w:tr>
      <w:tr>
        <w:tc>
          <w:tcPr/>
          <w:p>
            <w:pPr>
              <w:pStyle w:val="Compact"/>
              <w:jc w:val="left"/>
            </w:pPr>
            <w:r>
              <w:t xml:space="preserve">Stakeholder Engagement &amp; Protocol Design</w:t>
            </w:r>
          </w:p>
        </w:tc>
        <w:tc>
          <w:tcPr/>
          <w:p>
            <w:pPr>
              <w:pStyle w:val="Compact"/>
              <w:jc w:val="left"/>
            </w:pPr>
            <w:r>
              <w:t xml:space="preserve">Zoonotic response framework; Certification blueprint</w:t>
            </w:r>
          </w:p>
        </w:tc>
        <w:tc>
          <w:tcPr/>
          <w:p>
            <w:pPr>
              <w:pStyle w:val="Compact"/>
              <w:jc w:val="left"/>
            </w:pPr>
            <w:r>
              <w:t xml:space="preserve">Months 7-14</w:t>
            </w:r>
          </w:p>
        </w:tc>
      </w:tr>
      <w:tr>
        <w:tc>
          <w:tcPr/>
          <w:p>
            <w:pPr>
              <w:pStyle w:val="Compact"/>
              <w:jc w:val="left"/>
            </w:pPr>
            <w:r>
              <w:t xml:space="preserve">Pilot Implementation &amp; Dissemination</w:t>
            </w:r>
          </w:p>
        </w:tc>
        <w:tc>
          <w:tcPr/>
          <w:p>
            <w:pPr>
              <w:pStyle w:val="Compact"/>
              <w:jc w:val="left"/>
            </w:pPr>
            <w:r>
              <w:t xml:space="preserve">Mobile clinic pilot results; Training curriculum for AVMA Israel</w:t>
            </w:r>
          </w:p>
        </w:tc>
        <w:tc>
          <w:tcPr/>
          <w:p>
            <w:pPr>
              <w:pStyle w:val="Compact"/>
              <w:jc w:val="left"/>
            </w:pPr>
            <w:r>
              <w:t xml:space="preserve">Months 15-18</w:t>
            </w:r>
          </w:p>
        </w:tc>
      </w:tr>
    </w:tbl>
    <w:bookmarkEnd w:id="26"/>
    <w:bookmarkStart w:id="27" w:name="Xa3d428f12565a3abe1a7909662a943c8edd47e2"/>
    <w:p>
      <w:pPr>
        <w:pStyle w:val="Heading2"/>
      </w:pPr>
      <w:r>
        <w:t xml:space="preserve">8. Conclusion: The Imperative for Integrated Care</w:t>
      </w:r>
    </w:p>
    <w:p>
      <w:pPr>
        <w:pStyle w:val="FirstParagraph"/>
      </w:pPr>
      <w:r>
        <w:t xml:space="preserve">In the heart of</w:t>
      </w:r>
      <w:r>
        <w:t xml:space="preserve"> </w:t>
      </w:r>
      <w:r>
        <w:rPr>
          <w:bCs/>
          <w:b/>
        </w:rPr>
        <w:t xml:space="preserve">Israel Tel Aviv</w:t>
      </w:r>
      <w:r>
        <w:t xml:space="preserve">, where streets teem with cats, dogs, and wildlife corridors intersecting human pathways, a modernized veterinary profession is non-negotiable. This</w:t>
      </w:r>
      <w:r>
        <w:t xml:space="preserve"> </w:t>
      </w:r>
      <w:r>
        <w:rPr>
          <w:bCs/>
          <w:b/>
        </w:rPr>
        <w:t xml:space="preserve">Research Proposal</w:t>
      </w:r>
      <w:r>
        <w:t xml:space="preserve"> </w:t>
      </w:r>
      <w:r>
        <w:t xml:space="preserve">moves beyond conventional clinic-based care to envision a future where every animal health intervention strengthens community health. It demands that the</w:t>
      </w:r>
      <w:r>
        <w:t xml:space="preserve"> </w:t>
      </w:r>
      <w:r>
        <w:rPr>
          <w:bCs/>
          <w:b/>
        </w:rPr>
        <w:t xml:space="preserve">Veterinarian</w:t>
      </w:r>
      <w:r>
        <w:t xml:space="preserve"> </w:t>
      </w:r>
      <w:r>
        <w:t xml:space="preserve">transitions from service provider to strategic public health partner—critical for Tel Aviv's evolution as a global leader in sustainable urban living. With this research, Tel Aviv can pioneer a model where veterinary medicine isn't just about treating pets, but safeguarding the city itself. The time to integrate animal and human health systems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Veterinary Care in Israel Tel Aviv</dc:title>
  <dc:creator/>
  <dc:language>en</dc:language>
  <cp:keywords/>
  <dcterms:created xsi:type="dcterms:W3CDTF">2026-07-21T03:26:01Z</dcterms:created>
  <dcterms:modified xsi:type="dcterms:W3CDTF">2026-07-21T03:26:01Z</dcterms:modified>
</cp:coreProperties>
</file>

<file path=docProps/custom.xml><?xml version="1.0" encoding="utf-8"?>
<Properties xmlns="http://schemas.openxmlformats.org/officeDocument/2006/custom-properties" xmlns:vt="http://schemas.openxmlformats.org/officeDocument/2006/docPropsVTypes"/>
</file>