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Livestock</w:t>
      </w:r>
      <w:r>
        <w:t xml:space="preserve"> </w:t>
      </w:r>
      <w:r>
        <w:t xml:space="preserve">and</w:t>
      </w:r>
      <w:r>
        <w:t xml:space="preserve"> </w:t>
      </w:r>
      <w:r>
        <w:t xml:space="preserve">Public</w:t>
      </w:r>
      <w:r>
        <w:t xml:space="preserve"> </w:t>
      </w:r>
      <w:r>
        <w:t xml:space="preserve">Health</w:t>
      </w:r>
      <w:r>
        <w:t xml:space="preserve"> </w:t>
      </w:r>
      <w:r>
        <w:t xml:space="preserve">in</w:t>
      </w:r>
      <w:r>
        <w:t xml:space="preserve"> </w:t>
      </w:r>
      <w:r>
        <w:t xml:space="preserve">Almaty,</w:t>
      </w:r>
      <w:r>
        <w:t xml:space="preserve"> </w:t>
      </w:r>
      <w:r>
        <w:t xml:space="preserve">Kazakhstan</w:t>
      </w:r>
    </w:p>
    <w:bookmarkStart w:id="27" w:name="Xaeef3856f17030d631d95d2cf41a5536e9c2c85"/>
    <w:p>
      <w:pPr>
        <w:pStyle w:val="Heading1"/>
      </w:pPr>
      <w:r>
        <w:t xml:space="preserve">Research Proposal: Assessing the Capacity and Needs of the Veterinarian Workforce to Enhance Animal Health Systems in Kazakhstan Almaty</w:t>
      </w:r>
    </w:p>
    <w:bookmarkStart w:id="20" w:name="introduction-and-background"/>
    <w:p>
      <w:pPr>
        <w:pStyle w:val="Heading2"/>
      </w:pPr>
      <w:r>
        <w:t xml:space="preserve">1. Introduction and Background</w:t>
      </w:r>
    </w:p>
    <w:p>
      <w:pPr>
        <w:pStyle w:val="FirstParagraph"/>
      </w:pPr>
      <w:r>
        <w:t xml:space="preserve">The veterinary sector plays a pivotal role in safeguarding animal health, ensuring food security, protecting public health from zoonotic diseases, and supporting the economic stability of agricultural communities across Kazakhstan. As the largest city in Kazakhstan with a population exceeding 2 million residents and serving as a critical hub for trade and agriculture in Central Asia, Almaty faces unique challenges in maintaining robust veterinary infrastructure. The current</w:t>
      </w:r>
      <w:r>
        <w:t xml:space="preserve"> </w:t>
      </w:r>
      <w:r>
        <w:rPr>
          <w:iCs/>
          <w:i/>
        </w:rPr>
        <w:t xml:space="preserve">Research Proposal</w:t>
      </w:r>
      <w:r>
        <w:t xml:space="preserve"> </w:t>
      </w:r>
      <w:r>
        <w:t xml:space="preserve">addresses the urgent need to evaluate the capacity, accessibility, and strategic needs of the</w:t>
      </w:r>
      <w:r>
        <w:t xml:space="preserve"> </w:t>
      </w:r>
      <w:r>
        <w:rPr>
          <w:iCs/>
          <w:i/>
        </w:rPr>
        <w:t xml:space="preserve">Veterinarian</w:t>
      </w:r>
      <w:r>
        <w:t xml:space="preserve"> </w:t>
      </w:r>
      <w:r>
        <w:t xml:space="preserve">workforce within the</w:t>
      </w:r>
      <w:r>
        <w:t xml:space="preserve"> </w:t>
      </w:r>
      <w:r>
        <w:rPr>
          <w:bCs/>
          <w:b/>
        </w:rPr>
        <w:t xml:space="preserve">Kazakhstan Almaty</w:t>
      </w:r>
      <w:r>
        <w:t xml:space="preserve"> </w:t>
      </w:r>
      <w:r>
        <w:t xml:space="preserve">region. With livestock farming being a cornerstone of Kazakhstan’s economy—contributing significantly to GDP and export revenue—the sustainability of this sector is inextricably linked to the effectiveness of veterinary services. However, recent epidemiological challenges, including outbreaks of foot-and-mouth disease (FMD) and avian influenza, underscore the fragility of existing systems. This research directly responds to Kazakhstan’s national veterinary strategy aims for 2030 and identifies actionable pathways to strengthen</w:t>
      </w:r>
      <w:r>
        <w:t xml:space="preserve"> </w:t>
      </w:r>
      <w:r>
        <w:rPr>
          <w:iCs/>
          <w:i/>
        </w:rPr>
        <w:t xml:space="preserve">Veterinarian</w:t>
      </w:r>
      <w:r>
        <w:t xml:space="preserve"> </w:t>
      </w:r>
      <w:r>
        <w:t xml:space="preserve">support structures in the Almaty region.</w:t>
      </w:r>
    </w:p>
    <w:bookmarkEnd w:id="20"/>
    <w:bookmarkStart w:id="21" w:name="problem-statement"/>
    <w:p>
      <w:pPr>
        <w:pStyle w:val="Heading2"/>
      </w:pPr>
      <w:r>
        <w:t xml:space="preserve">2. Problem Statement</w:t>
      </w:r>
    </w:p>
    <w:p>
      <w:pPr>
        <w:pStyle w:val="FirstParagraph"/>
      </w:pPr>
      <w:r>
        <w:t xml:space="preserve">Despite Kazakhstan’s strategic investments in veterinary public health, significant gaps persist, particularly in urbanizing regions like Almaty. The city and its surrounding agricultural zones experience a dual burden: (1) rapid urbanization increasing demand for companion animal services and pet ownership while straining municipal resources; and (2) extensive peri-urban livestock farming with limited access to qualified</w:t>
      </w:r>
      <w:r>
        <w:t xml:space="preserve"> </w:t>
      </w:r>
      <w:r>
        <w:rPr>
          <w:iCs/>
          <w:i/>
        </w:rPr>
        <w:t xml:space="preserve">Veterinarian</w:t>
      </w:r>
      <w:r>
        <w:t xml:space="preserve"> </w:t>
      </w:r>
      <w:r>
        <w:t xml:space="preserve">professionals. A 2023 report by the Kazakhstan Ministry of Agriculture indicated a critical shortage of licensed veterinarians in rural districts adjacent to Almaty, where over 60% of small-scale livestock farmers report delays exceeding 72 hours for veterinary consultation during disease outbreaks. Furthermore, Almaty’s veterinary clinics often lack modern diagnostic tools and digital record-keeping systems prevalent in European counterparts. This situation jeopardizes Kazakhstan’s ability to meet international phytosanitary standards required for meat and dairy exports, directly impacting national economic goals. The</w:t>
      </w:r>
      <w:r>
        <w:t xml:space="preserve"> </w:t>
      </w:r>
      <w:r>
        <w:rPr>
          <w:iCs/>
          <w:i/>
        </w:rPr>
        <w:t xml:space="preserve">Research Proposal</w:t>
      </w:r>
      <w:r>
        <w:t xml:space="preserve"> </w:t>
      </w:r>
      <w:r>
        <w:t xml:space="preserve">thus centers on diagnosing these systemic weaknesses through a localized lens specific to</w:t>
      </w:r>
      <w:r>
        <w:t xml:space="preserve"> </w:t>
      </w:r>
      <w:r>
        <w:rPr>
          <w:bCs/>
          <w:b/>
        </w:rPr>
        <w:t xml:space="preserve">Kazakhstan Almaty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distribution, qualifications, and workload capacity of licensed veterinarians across Almaty city and its administrative regions.</w:t>
      </w:r>
    </w:p>
    <w:p>
      <w:pPr>
        <w:numPr>
          <w:ilvl w:val="0"/>
          <w:numId w:val="1001"/>
        </w:numPr>
        <w:pStyle w:val="Compact"/>
      </w:pPr>
      <w:r>
        <w:t xml:space="preserve">To identify key barriers affecting veterinary service delivery for livestock producers (smallholders and commercial farms) and pet owners in urban vs. peri-urban settings within Kazakhstan Almaty.</w:t>
      </w:r>
    </w:p>
    <w:p>
      <w:pPr>
        <w:numPr>
          <w:ilvl w:val="0"/>
          <w:numId w:val="1001"/>
        </w:numPr>
        <w:pStyle w:val="Compact"/>
      </w:pPr>
      <w:r>
        <w:t xml:space="preserve">To analyze the alignment between existing veterinary infrastructure (clinics, laboratories, mobile units) and the evolving health needs of animal populations in Almaty.</w:t>
      </w:r>
    </w:p>
    <w:p>
      <w:pPr>
        <w:numPr>
          <w:ilvl w:val="0"/>
          <w:numId w:val="1001"/>
        </w:numPr>
        <w:pStyle w:val="Compact"/>
      </w:pPr>
      <w:r>
        <w:t xml:space="preserve">To develop evidence-based recommendations for policy reforms and resource allocation to enhance the efficiency and equity of veterinary services in Kazakhstan Almaty, prioritizing public health security.</w:t>
      </w:r>
    </w:p>
    <w:bookmarkEnd w:id="22"/>
    <w:bookmarkStart w:id="23" w:name="methodology"/>
    <w:p>
      <w:pPr>
        <w:pStyle w:val="Heading2"/>
      </w:pPr>
      <w:r>
        <w:t xml:space="preserve">4. 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Quantitative Phase:</w:t>
      </w:r>
      <w:r>
        <w:t xml:space="preserve"> </w:t>
      </w:r>
      <w:r>
        <w:t xml:space="preserve">Stratified random sampling of 300 livestock farms (150 peri-urban, 150 urban smallholders) and 25 pet clinics across Almaty city. Standardized questionnaires will measure service accessibility, cost barriers, and disease incidence patterns.</w:t>
      </w:r>
    </w:p>
    <w:p>
      <w:pPr>
        <w:numPr>
          <w:ilvl w:val="0"/>
          <w:numId w:val="1002"/>
        </w:numPr>
        <w:pStyle w:val="Compact"/>
      </w:pPr>
      <w:r>
        <w:rPr>
          <w:bCs/>
          <w:b/>
        </w:rPr>
        <w:t xml:space="preserve">Qualitative Phase:</w:t>
      </w:r>
      <w:r>
        <w:t xml:space="preserve"> </w:t>
      </w:r>
      <w:r>
        <w:t xml:space="preserve">In-depth interviews with 40 key stakeholders including senior</w:t>
      </w:r>
      <w:r>
        <w:t xml:space="preserve"> </w:t>
      </w:r>
      <w:r>
        <w:rPr>
          <w:iCs/>
          <w:i/>
        </w:rPr>
        <w:t xml:space="preserve">Veterinarian</w:t>
      </w:r>
      <w:r>
        <w:t xml:space="preserve">s at the Almaty Regional Veterinary Center, representatives from the Ministry of Agriculture (Kazakhstan), NGO partners (e.g., FAO Kazakhstan), and livestock cooperatives. Focus groups with farmers will explore cultural and logistical barriers.</w:t>
      </w:r>
    </w:p>
    <w:p>
      <w:pPr>
        <w:numPr>
          <w:ilvl w:val="0"/>
          <w:numId w:val="1002"/>
        </w:numPr>
        <w:pStyle w:val="Compact"/>
      </w:pPr>
      <w:r>
        <w:rPr>
          <w:bCs/>
          <w:b/>
        </w:rPr>
        <w:t xml:space="preserve">System Analysis:</w:t>
      </w:r>
      <w:r>
        <w:t xml:space="preserve"> </w:t>
      </w:r>
      <w:r>
        <w:t xml:space="preserve">Mapping of existing veterinary facilities against geographic population density, livestock numbers, and disease risk zones using GIS tools to identify underserved areas in Almaty region.</w:t>
      </w:r>
    </w:p>
    <w:p>
      <w:pPr>
        <w:pStyle w:val="FirstParagraph"/>
      </w:pPr>
      <w:r>
        <w:t xml:space="preserve">Data analysis will use SPSS for quantitative results and NVivo for thematic coding of qualitative data. All research protocols comply with Kazakhstan’s National Ethics Code for Health Research (2021) and ensure participant anonymity. Collaboration with the Almaty Veterinary Academy guarantees methodological relevance.</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three major outcomes directly benefiting</w:t>
      </w:r>
      <w:r>
        <w:t xml:space="preserve"> </w:t>
      </w:r>
      <w:r>
        <w:rPr>
          <w:bCs/>
          <w:b/>
        </w:rPr>
        <w:t xml:space="preserve">Kazakhstan Almaty</w:t>
      </w:r>
      <w:r>
        <w:t xml:space="preserve">:</w:t>
      </w:r>
    </w:p>
    <w:p>
      <w:pPr>
        <w:numPr>
          <w:ilvl w:val="0"/>
          <w:numId w:val="1003"/>
        </w:numPr>
        <w:pStyle w:val="Compact"/>
      </w:pPr>
      <w:r>
        <w:rPr>
          <w:bCs/>
          <w:b/>
        </w:rPr>
        <w:t xml:space="preserve">Actionable Policy Briefs:</w:t>
      </w:r>
      <w:r>
        <w:t xml:space="preserve"> </w:t>
      </w:r>
      <w:r>
        <w:t xml:space="preserve">Tailored recommendations for the Kazakhstan Ministry of Agriculture on workforce development, including targeted training programs for veterinarians in peri-urban Almaty and digital tool integration (e.g., mobile diagnostic apps).</w:t>
      </w:r>
    </w:p>
    <w:p>
      <w:pPr>
        <w:numPr>
          <w:ilvl w:val="0"/>
          <w:numId w:val="1003"/>
        </w:numPr>
        <w:pStyle w:val="Compact"/>
      </w:pPr>
      <w:r>
        <w:rPr>
          <w:bCs/>
          <w:b/>
        </w:rPr>
        <w:t xml:space="preserve">Equity Framework:</w:t>
      </w:r>
      <w:r>
        <w:t xml:space="preserve"> </w:t>
      </w:r>
      <w:r>
        <w:t xml:space="preserve">A spatial model identifying "veterinary deserts" in Almaty region to guide infrastructure investment prioritization, ensuring rural producers and urban pet owners receive equitable care.</w:t>
      </w:r>
    </w:p>
    <w:p>
      <w:pPr>
        <w:numPr>
          <w:ilvl w:val="0"/>
          <w:numId w:val="1003"/>
        </w:numPr>
        <w:pStyle w:val="Compact"/>
      </w:pPr>
      <w:r>
        <w:rPr>
          <w:bCs/>
          <w:b/>
        </w:rPr>
        <w:t xml:space="preserve">Sustainable Capacity Building:</w:t>
      </w:r>
      <w:r>
        <w:t xml:space="preserve"> </w:t>
      </w:r>
      <w:r>
        <w:t xml:space="preserve">A blueprint for public-private partnerships to incentivize veterinarians to serve high-need zones in Kazakhstan Almaty through loan forgiveness or community health incentives, reducing the current 35% attrition rate among new graduates.</w:t>
      </w:r>
    </w:p>
    <w:p>
      <w:pPr>
        <w:pStyle w:val="FirstParagraph"/>
      </w:pPr>
      <w:r>
        <w:t xml:space="preserve">The significance extends beyond academia: effective veterinary services prevent economic losses from livestock mortality (estimated at $42M annually in Kazakhstan due to delayed interventions) and curb zoonotic disease spillover (e.g., brucellosis, which affects 1,800 people yearly in Central Asia). Strengthening the</w:t>
      </w:r>
      <w:r>
        <w:t xml:space="preserve"> </w:t>
      </w:r>
      <w:r>
        <w:rPr>
          <w:iCs/>
          <w:i/>
        </w:rPr>
        <w:t xml:space="preserve">Veterinarian</w:t>
      </w:r>
      <w:r>
        <w:t xml:space="preserve"> </w:t>
      </w:r>
      <w:r>
        <w:t xml:space="preserve">workforce directly supports Kazakhstan’s strategic goal of becoming a leading agricultural exporter by 2035.</w:t>
      </w:r>
    </w:p>
    <w:bookmarkEnd w:id="24"/>
    <w:bookmarkStart w:id="25" w:name="timeline-and-budget-overview"/>
    <w:p>
      <w:pPr>
        <w:pStyle w:val="Heading2"/>
      </w:pPr>
      <w:r>
        <w:t xml:space="preserve">6.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Budget Allocation (KZT)</w:t>
            </w:r>
          </w:p>
        </w:tc>
      </w:tr>
      <w:tr>
        <w:tc>
          <w:tcPr/>
          <w:p>
            <w:pPr>
              <w:pStyle w:val="Compact"/>
              <w:jc w:val="left"/>
            </w:pPr>
            <w:r>
              <w:t xml:space="preserve">Pre-fieldwork: Literature Review &amp; Tool Development</w:t>
            </w:r>
          </w:p>
        </w:tc>
        <w:tc>
          <w:tcPr/>
          <w:p>
            <w:pPr>
              <w:pStyle w:val="Compact"/>
              <w:jc w:val="left"/>
            </w:pPr>
            <w:r>
              <w:t xml:space="preserve">2</w:t>
            </w:r>
          </w:p>
        </w:tc>
        <w:tc>
          <w:tcPr/>
          <w:p>
            <w:pPr>
              <w:pStyle w:val="Compact"/>
              <w:jc w:val="left"/>
            </w:pPr>
            <w:r>
              <w:t xml:space="preserve">850,000</w:t>
            </w:r>
          </w:p>
        </w:tc>
      </w:tr>
      <w:tr>
        <w:tc>
          <w:tcPr/>
          <w:p>
            <w:pPr>
              <w:pStyle w:val="Compact"/>
              <w:jc w:val="left"/>
            </w:pPr>
            <w:r>
              <w:t xml:space="preserve">Data Collection: Surveys &amp; Interviews (Almaty Region)</w:t>
            </w:r>
          </w:p>
        </w:tc>
        <w:tc>
          <w:tcPr/>
          <w:p>
            <w:pPr>
              <w:pStyle w:val="Compact"/>
              <w:jc w:val="left"/>
            </w:pPr>
            <w:r>
              <w:t xml:space="preserve">6</w:t>
            </w:r>
          </w:p>
        </w:tc>
        <w:tc>
          <w:tcPr/>
          <w:p>
            <w:pPr>
              <w:pStyle w:val="Compact"/>
              <w:jc w:val="left"/>
            </w:pPr>
            <w:r>
              <w:t xml:space="preserve">4,120,000</w:t>
            </w:r>
          </w:p>
        </w:tc>
      </w:tr>
      <w:tr>
        <w:tc>
          <w:tcPr/>
          <w:p>
            <w:pPr>
              <w:pStyle w:val="Compact"/>
              <w:jc w:val="left"/>
            </w:pPr>
            <w:r>
              <w:t xml:space="preserve">Data Analysis &amp; Reporting</w:t>
            </w:r>
          </w:p>
        </w:tc>
        <w:tc>
          <w:tcPr/>
          <w:p>
            <w:pPr>
              <w:pStyle w:val="Compact"/>
              <w:jc w:val="left"/>
            </w:pPr>
            <w:r>
              <w:t xml:space="preserve">7</w:t>
            </w:r>
          </w:p>
        </w:tc>
        <w:tc>
          <w:tcPr/>
          <w:p>
            <w:pPr>
              <w:pStyle w:val="Compact"/>
              <w:jc w:val="left"/>
            </w:pPr>
            <w:r>
              <w:t xml:space="preserve">2,355,000</w:t>
            </w:r>
          </w:p>
        </w:tc>
      </w:tr>
      <w:tr>
        <w:tc>
          <w:tcPr/>
          <w:p>
            <w:pPr>
              <w:pStyle w:val="Compact"/>
              <w:jc w:val="left"/>
            </w:pPr>
            <w:r>
              <w:t xml:space="preserve">Policy Dissemination &amp; Stakeholder Workshops (Almaty)</w:t>
            </w:r>
          </w:p>
        </w:tc>
        <w:tc>
          <w:tcPr/>
          <w:p>
            <w:pPr>
              <w:pStyle w:val="Compact"/>
              <w:jc w:val="left"/>
            </w:pPr>
            <w:r>
              <w:t xml:space="preserve">3</w:t>
            </w:r>
          </w:p>
        </w:tc>
        <w:tc>
          <w:tcPr/>
          <w:p>
            <w:pPr>
              <w:pStyle w:val="Compact"/>
              <w:jc w:val="left"/>
            </w:pPr>
            <w:r>
              <w:t xml:space="preserve">1,875,000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9,200,000 KZT (~$14,656 USD)</w:t>
            </w:r>
          </w:p>
        </w:tc>
      </w:tr>
    </w:tbl>
    <w:bookmarkEnd w:id="25"/>
    <w:bookmarkStart w:id="26" w:name="conclusion"/>
    <w:p>
      <w:pPr>
        <w:pStyle w:val="Heading2"/>
      </w:pPr>
      <w:r>
        <w:t xml:space="preserve">7. Conclusion</w:t>
      </w:r>
    </w:p>
    <w:p>
      <w:pPr>
        <w:pStyle w:val="FirstParagraph"/>
      </w:pPr>
      <w:r>
        <w:t xml:space="preserve">The proposed</w:t>
      </w:r>
      <w:r>
        <w:t xml:space="preserve"> </w:t>
      </w:r>
      <w:r>
        <w:rPr>
          <w:iCs/>
          <w:i/>
        </w:rPr>
        <w:t xml:space="preserve">Research Proposal</w:t>
      </w:r>
      <w:r>
        <w:t xml:space="preserve"> </w:t>
      </w:r>
      <w:r>
        <w:t xml:space="preserve">is a critical step toward building a resilient veterinary system in</w:t>
      </w:r>
      <w:r>
        <w:t xml:space="preserve"> </w:t>
      </w:r>
      <w:r>
        <w:rPr>
          <w:bCs/>
          <w:b/>
        </w:rPr>
        <w:t xml:space="preserve">Kazakhstan Almaty</w:t>
      </w:r>
      <w:r>
        <w:t xml:space="preserve">. By centering the expertise and challenges of the local veterinarian workforce, this study transcends generic assessments to deliver context-specific solutions. In an era where global health security hinges on regional animal health systems, investing in veterinarians across Kazakhstan’s key economic zones is not merely a public health imperative—it is a strategic investment in national prosperity. The findings will empower policymakers, veterinary institutions, and communities in Almaty to build a future where every livestock producer and pet owner has reliable access to timely, skilled veterinary care. This research embodies the commitment of Kazakhstani stakeholders to leverage science for sustainable development within their own borders.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Veterinary Services for Sustainable Livestock and Public Health in Almaty, Kazakhstan</dc:title>
  <dc:creator/>
  <dc:language>en</dc:language>
  <cp:keywords/>
  <dcterms:created xsi:type="dcterms:W3CDTF">2026-07-23T11:50:00Z</dcterms:created>
  <dcterms:modified xsi:type="dcterms:W3CDTF">2026-07-23T11:50:00Z</dcterms:modified>
</cp:coreProperties>
</file>

<file path=docProps/custom.xml><?xml version="1.0" encoding="utf-8"?>
<Properties xmlns="http://schemas.openxmlformats.org/officeDocument/2006/custom-properties" xmlns:vt="http://schemas.openxmlformats.org/officeDocument/2006/docPropsVTypes"/>
</file>