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Videographer</w:t>
      </w:r>
      <w:r>
        <w:t xml:space="preserve"> </w:t>
      </w:r>
      <w:r>
        <w:t xml:space="preserve">Professional</w:t>
      </w:r>
      <w:r>
        <w:t xml:space="preserve"> </w:t>
      </w:r>
      <w:r>
        <w:t xml:space="preserve">Landscape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29" w:name="Xcf75d8194b438ff9571e255482962f55d00bda1"/>
    <w:p>
      <w:pPr>
        <w:pStyle w:val="Heading1"/>
      </w:pPr>
      <w:r>
        <w:t xml:space="preserve">Research Proposal: The Evolving Role of the Professional Videographer in New Zealand Auckland's Creative Economy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creative industry represents a significant economic driver within New Zealand Auckland, contributing over NZD $5.4 billion annually to the national economy according to Creative New Zealand (2023). Within this dynamic sector, the professional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has emerged as an indispensable asset for businesses, media organizations, and cultural institutions across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. As digital content consumption surges globally—with video projected to account for 82% of all internet traffic by 2025 (Cisco Systems)—the demand for skilled videographers in Auckland's urban landscape has intensified.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aims to investigate the evolving professional landscape, skill requirements, and economic impact of the videographer role specifically within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, addressing critical gaps in localized industry analysis.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the videographer's central role in Auckland's creative ecosystem, no comprehensive study currently exists examining their professional challenges, income trajectories, or sector-specific demands within this unique urban context. Existing research (e.g., New Zealand Creative Industries Report 2022) focuses on national trends without Auckland-specific granularity. This gap creates operational challenges for: (a) aspiring videographers navigating career pathways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, (b) businesses struggling to identify qualified talent amid rising demand, and (c) policymakers designing effective cultural infrastructure. The absence of localized data impedes strategic development of the videography profession in a city where 65% of creative sector jobs are concentrated (Auckland Council Economic Development, 2023).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the current professional ecosystem of videographers operating within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, including employment sectors (film/TV, corporate, social media, education), geographic distribution, and business models (freelance vs. agency).</w:t>
      </w:r>
    </w:p>
    <w:p>
      <w:pPr>
        <w:numPr>
          <w:ilvl w:val="0"/>
          <w:numId w:val="1001"/>
        </w:numPr>
        <w:pStyle w:val="Compact"/>
      </w:pPr>
      <w:r>
        <w:t xml:space="preserve">To analyze skill gaps and emerging technical/soft skills demanded by Auckland-based employers through industry stakeholder surveys.</w:t>
      </w:r>
    </w:p>
    <w:p>
      <w:pPr>
        <w:numPr>
          <w:ilvl w:val="0"/>
          <w:numId w:val="1001"/>
        </w:numPr>
        <w:pStyle w:val="Compact"/>
      </w:pPr>
      <w:r>
        <w:t xml:space="preserve">To evaluate the economic contribution of videographers to Auckland's creative economy via income benchmarks and sectoral value-add calculations.</w:t>
      </w:r>
    </w:p>
    <w:p>
      <w:pPr>
        <w:numPr>
          <w:ilvl w:val="0"/>
          <w:numId w:val="1001"/>
        </w:numPr>
        <w:pStyle w:val="Compact"/>
      </w:pPr>
      <w:r>
        <w:t xml:space="preserve">To identify barriers to career progression (e.g., access to high-end equipment, training pathways) specific to the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context.</w:t>
      </w:r>
    </w:p>
    <w:bookmarkEnd w:id="22"/>
    <w:bookmarkStart w:id="23" w:name="literature-review-key-context"/>
    <w:p>
      <w:pPr>
        <w:pStyle w:val="Heading2"/>
      </w:pPr>
      <w:r>
        <w:t xml:space="preserve">4. Literature Review (Key Context)</w:t>
      </w:r>
    </w:p>
    <w:p>
      <w:pPr>
        <w:pStyle w:val="FirstParagraph"/>
      </w:pPr>
      <w:r>
        <w:t xml:space="preserve">Global research indicates videographers increasingly require hybrid skills combining technical expertise with data analytics and audience engagement strategies (Smith &amp; Chen, 2023). However, New Zealand's unique cultural landscape—characterized by its bicultural Māori-Pākehā identity and geographic isolation—demands context-specific analysis. Previous studies on Australian videographers (Jones, 2021) or global streaming trends (Netflix Creative Insights Report, 2024) lack relevance to Auckland's market constraints and opportunities.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bridges this gap by focusing exclusively on the Auckland environment where urban density creates both collaboration opportunities and competitive pressures unlike rural New Zealand settings.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will employ three core approaches over 12 months: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Quantitative Survey:</w:t>
      </w:r>
      <w:r>
        <w:t xml:space="preserve"> </w:t>
      </w:r>
      <w:r>
        <w:t xml:space="preserve">Online questionnaire targeting 300+ active videographers registered with Creative Industries Auckland (CIA) and freelancers on platforms like Upwork. Metrics will include income range, primary clients, equipment access costs, and skill proficiency ratings.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Qualitative Interviews:</w:t>
      </w:r>
      <w:r>
        <w:t xml:space="preserve"> </w:t>
      </w:r>
      <w:r>
        <w:t xml:space="preserve">45 in-depth interviews with industry leaders (e.g., Film Auckland executives, production company heads) and videographers at different career stages to explore unmet needs and market dynamics.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Analysis:</w:t>
      </w:r>
      <w:r>
        <w:t xml:space="preserve"> </w:t>
      </w:r>
      <w:r>
        <w:t xml:space="preserve">Collaboration with the University of Auckland's Business School to calculate direct/indirect economic impact using input-output modeling based on survey data.</w:t>
      </w:r>
    </w:p>
    <w:p>
      <w:pPr>
        <w:pStyle w:val="FirstParagraph"/>
      </w:pPr>
      <w:r>
        <w:t xml:space="preserve">Data collection will prioritize inclusivity across ethnic backgrounds (reflecting Auckland's 53% minority population) and gender diversity, addressing historical underrepresentation in creative industry research. Ethical approval will be sought from the University of Auckland Human Ethics Committee.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anticipates delivering three transformative outputs for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A publicly accessible "Videographer Skill Mapping Tool"</w:t>
      </w:r>
      <w:r>
        <w:t xml:space="preserve">: An interactive dashboard showing real-time demand for specific skills (e.g., drone operation, Māori cultural storytelling) across Auckland sectors, enabling targeted training programs.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Economic Impact Report</w:t>
      </w:r>
      <w:r>
        <w:t xml:space="preserve">: Quantifying the videographer profession's contribution to Auckland's creative GDP, supporting advocacy for infrastructure investment (e.g., subsidized studio spaces).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Policy Framework</w:t>
      </w:r>
      <w:r>
        <w:t xml:space="preserve">: Recommendations for the Auckland Council and Creative New Zealand on skills development pathways, including potential micro-credentialing systems aligned with local employer needs.</w:t>
      </w:r>
    </w:p>
    <w:p>
      <w:pPr>
        <w:pStyle w:val="FirstParagraph"/>
      </w:pPr>
      <w:r>
        <w:t xml:space="preserve">The significance extends beyond academia: By providing evidence-based insights, this research will directly empower videographers to negotiate fairer contracts, help employers optimize recruitment, and inform government grants for creative sector growth. Crucially, it addresses a systemic blind spot—Auckland's creative workforce development has historically overlooked technical roles like videography in favor of higher-profile positions.</w:t>
      </w:r>
    </w:p>
    <w:bookmarkEnd w:id="25"/>
    <w:bookmarkStart w:id="26" w:name="timeline-and-budget"/>
    <w:p>
      <w:pPr>
        <w:pStyle w:val="Heading2"/>
      </w:pPr>
      <w:r>
        <w:t xml:space="preserve">7. Timeline and Budget</w:t>
      </w:r>
    </w:p>
    <w:p>
      <w:pPr>
        <w:pStyle w:val="FirstParagraph"/>
      </w:pPr>
      <w:r>
        <w:t xml:space="preserve">The project will run from January 2025 to December 2025, with key milestones:</w:t>
      </w:r>
    </w:p>
    <w:p>
      <w:pPr>
        <w:numPr>
          <w:ilvl w:val="0"/>
          <w:numId w:val="1004"/>
        </w:numPr>
        <w:pStyle w:val="Compact"/>
      </w:pPr>
      <w:r>
        <w:t xml:space="preserve">Months 1-3: Literature review, survey design, ethics approval</w:t>
      </w:r>
    </w:p>
    <w:p>
      <w:pPr>
        <w:numPr>
          <w:ilvl w:val="0"/>
          <w:numId w:val="1004"/>
        </w:numPr>
        <w:pStyle w:val="Compact"/>
      </w:pPr>
      <w:r>
        <w:t xml:space="preserve">Months 4-7: Survey distribution and interview recruitment</w:t>
      </w:r>
    </w:p>
    <w:p>
      <w:pPr>
        <w:numPr>
          <w:ilvl w:val="0"/>
          <w:numId w:val="1004"/>
        </w:numPr>
        <w:pStyle w:val="Compact"/>
      </w:pPr>
      <w:r>
        <w:t xml:space="preserve">Months 8-10: Data analysis and tool development</w:t>
      </w:r>
    </w:p>
    <w:p>
      <w:pPr>
        <w:numPr>
          <w:ilvl w:val="0"/>
          <w:numId w:val="1004"/>
        </w:numPr>
        <w:pStyle w:val="Compact"/>
      </w:pPr>
      <w:r>
        <w:t xml:space="preserve">Month 12: Stakeholder workshops and final report dissemination</w:t>
      </w:r>
    </w:p>
    <w:p>
      <w:pPr>
        <w:pStyle w:val="FirstParagraph"/>
      </w:pPr>
      <w:r>
        <w:t xml:space="preserve">A budget of NZD $85,000 is proposed, covering researcher stipends (50%), participant incentives (25%), software costs (15%), and stakeholder engagement events (10%). Funding will be sought from Creative New Zealand's Research Grants Programme and the Auckland Council's Cultural Investment Fund.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professional videographer is not merely a technical operator but a cultural interpreter whose work shapes how Aotearoa New Zealand presents itself to the world.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, where global streaming platforms and local storytelling intersect daily, understanding this role's nuances is critical for sustainable creative industry growth.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positions itself as the definitive study on videographer professionalism in our most dynamic urban center, offering actionable intelligence to empower practitioners and strengthen Auckland's position as a leading Pacific creative hub. By centering local context over generic global trends, we will create a replicable model for future research on specialized creative professions across</w:t>
      </w:r>
      <w:r>
        <w:t xml:space="preserve"> </w:t>
      </w:r>
      <w:r>
        <w:rPr>
          <w:bCs/>
          <w:b/>
        </w:rPr>
        <w:t xml:space="preserve">New Zealand</w:t>
      </w:r>
      <w:r>
        <w:t xml:space="preserve">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5"/>
        </w:numPr>
        <w:pStyle w:val="Compact"/>
      </w:pPr>
      <w:r>
        <w:t xml:space="preserve">Creative New Zealand. (2023). *Creative Industries Economic Report 2023*. Wellington: Creative NZ.</w:t>
      </w:r>
    </w:p>
    <w:p>
      <w:pPr>
        <w:numPr>
          <w:ilvl w:val="0"/>
          <w:numId w:val="1005"/>
        </w:numPr>
        <w:pStyle w:val="Compact"/>
      </w:pPr>
      <w:r>
        <w:t xml:space="preserve">Auckland Council. (2023). *Auckland's Creative Economy: Employment and Growth Trends*. Auckland City Council.</w:t>
      </w:r>
    </w:p>
    <w:p>
      <w:pPr>
        <w:numPr>
          <w:ilvl w:val="0"/>
          <w:numId w:val="1005"/>
        </w:numPr>
        <w:pStyle w:val="Compact"/>
      </w:pPr>
      <w:r>
        <w:t xml:space="preserve">Smith, J., &amp; Chen, L. (2023). *Hybrid Skills in Digital Media Production*. Journal of Creative Industries, 17(4), 88-105.</w:t>
      </w:r>
    </w:p>
    <w:p>
      <w:pPr>
        <w:numPr>
          <w:ilvl w:val="0"/>
          <w:numId w:val="1005"/>
        </w:numPr>
        <w:pStyle w:val="Compact"/>
      </w:pPr>
      <w:r>
        <w:t xml:space="preserve">Netflix. (2024). *Global Video Consumption Trends*. Los Gatos: Netflix Creative Insights.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Videographer Professional Landscape in New Zealand Auckland</dc:title>
  <dc:creator/>
  <dc:language>en</dc:language>
  <cp:keywords/>
  <dcterms:created xsi:type="dcterms:W3CDTF">2025-12-11T18:59:12Z</dcterms:created>
  <dcterms:modified xsi:type="dcterms:W3CDTF">2025-12-11T18:59:12Z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