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France's</w:t>
      </w:r>
      <w:r>
        <w:t xml:space="preserve"> </w:t>
      </w:r>
      <w:r>
        <w:t xml:space="preserve">Paris</w:t>
      </w:r>
      <w:r>
        <w:t xml:space="preserve"> </w:t>
      </w:r>
      <w:r>
        <w:t xml:space="preserve">Digital</w:t>
      </w:r>
      <w:r>
        <w:t xml:space="preserve"> </w:t>
      </w:r>
      <w:r>
        <w:t xml:space="preserve">Ecosystem</w:t>
      </w:r>
    </w:p>
    <w:bookmarkStart w:id="32" w:name="X54f4462904c22c4adfaf7bd06e53ebe4ad5a147"/>
    <w:p>
      <w:pPr>
        <w:pStyle w:val="Heading1"/>
      </w:pPr>
      <w:r>
        <w:t xml:space="preserve">Research Proposal: The Evolving Role of the Web Designer in France's Paris Digital Ecosystem</w:t>
      </w:r>
    </w:p>
    <w:bookmarkStart w:id="20" w:name="abstract"/>
    <w:p>
      <w:pPr>
        <w:pStyle w:val="Heading2"/>
      </w:pPr>
      <w:r>
        <w:t xml:space="preserve">Abstract</w:t>
      </w:r>
    </w:p>
    <w:p>
      <w:pPr>
        <w:pStyle w:val="FirstParagraph"/>
      </w:pPr>
      <w:r>
        <w:t xml:space="preserve">This research proposal outlines a comprehensive study investigating the specialized role of the Web Designer within France, with an intensive focus on Paris as Europe’s premier digital and creative hub. The project addresses critical gaps in understanding how contemporary Web Designer practices adapt to Parisian market demands, cultural nuances, and regulatory frameworks. With Paris hosting over 15,000 digital agencies and a thriving startup scene (including 24% of France’s tech unicorns), this study aims to define the evolving skillset, ethical considerations, and economic value of Web Designers in one of the world's most influential cultural capitals. The findings will provide actionable insights for educational institutions, businesses, and policymakers seeking to strengthen France’s digital competitiveness.</w:t>
      </w:r>
    </w:p>
    <w:bookmarkEnd w:id="20"/>
    <w:bookmarkStart w:id="21" w:name="X655bf7a3e9d1e87cc1b5bd77d22f4b0e0d7be77"/>
    <w:p>
      <w:pPr>
        <w:pStyle w:val="Heading2"/>
      </w:pPr>
      <w:r>
        <w:t xml:space="preserve">1. Introduction: Paris as a Global Digital Nexus</w:t>
      </w:r>
    </w:p>
    <w:p>
      <w:pPr>
        <w:pStyle w:val="FirstParagraph"/>
      </w:pPr>
      <w:r>
        <w:t xml:space="preserve">Paris is not merely a location but a dynamic ecosystem where artistry meets technology. As the capital of France—a nation prioritizing digital sovereignty and GDPR leadership—the city demands Web Designers who navigate both aesthetic excellence and regulatory complexity. Current research disproportionately focuses on Anglophone markets, neglecting Paris’s unique confluence of haute couture sensibilities, Francophone user behavior, and EU compliance requirements. This study positions itself as the first systematic analysis of how the Web Designer role in France Paris reconciles these elements to serve luxury brands (e.g., LVMH), SMEs, and public sector clients. The urgency is heightened by France’s 2025 Digital Strategy target of 100,000 new digital jobs, with Web Designers as pivotal contributors.</w:t>
      </w:r>
    </w:p>
    <w:bookmarkEnd w:id="21"/>
    <w:bookmarkStart w:id="22" w:name="problem-statement"/>
    <w:p>
      <w:pPr>
        <w:pStyle w:val="Heading2"/>
      </w:pPr>
      <w:r>
        <w:t xml:space="preserve">2. Problem Statement</w:t>
      </w:r>
    </w:p>
    <w:p>
      <w:pPr>
        <w:pStyle w:val="FirstParagraph"/>
      </w:pPr>
      <w:r>
        <w:t xml:space="preserve">Despite Paris’s status as a UNESCO Creative City and Europe’s third-largest tech hub, there is no localized framework for the Web Designer profession in France. Existing studies (e.g., OECD Digital Economy Reports) generalize European practices, ignoring:</w:t>
      </w:r>
    </w:p>
    <w:p>
      <w:pPr>
        <w:numPr>
          <w:ilvl w:val="0"/>
          <w:numId w:val="1001"/>
        </w:numPr>
        <w:pStyle w:val="Compact"/>
      </w:pPr>
      <w:r>
        <w:t xml:space="preserve">The preference for minimalist yet culturally resonant interfaces over "feature-heavy" designs common in Anglophone markets.</w:t>
      </w:r>
    </w:p>
    <w:p>
      <w:pPr>
        <w:numPr>
          <w:ilvl w:val="0"/>
          <w:numId w:val="1001"/>
        </w:numPr>
        <w:pStyle w:val="Compact"/>
      </w:pPr>
      <w:r>
        <w:t xml:space="preserve">GDPR’s profound impact on user experience flows and data collection practices.</w:t>
      </w:r>
    </w:p>
    <w:p>
      <w:pPr>
        <w:numPr>
          <w:ilvl w:val="0"/>
          <w:numId w:val="1001"/>
        </w:numPr>
        <w:pStyle w:val="Compact"/>
      </w:pPr>
      <w:r>
        <w:t xml:space="preserve">The rise of multilingual sites requiring French-English-Spanish navigation without compromising cultural authenticity.</w:t>
      </w:r>
    </w:p>
    <w:p>
      <w:pPr>
        <w:pStyle w:val="FirstParagraph"/>
      </w:pPr>
      <w:r>
        <w:t xml:space="preserve">This gap impedes talent development, client satisfaction, and France’s ability to compete with Berlin and London in the EU digital market. The Research Proposal therefore seeks to establish a Paris-specific benchmark for Web Designer competencies.</w:t>
      </w:r>
    </w:p>
    <w:bookmarkEnd w:id="22"/>
    <w:bookmarkStart w:id="23" w:name="research-objectives"/>
    <w:p>
      <w:pPr>
        <w:pStyle w:val="Heading2"/>
      </w:pPr>
      <w:r>
        <w:t xml:space="preserve">3. Research Objectives</w:t>
      </w:r>
    </w:p>
    <w:p>
      <w:pPr>
        <w:numPr>
          <w:ilvl w:val="0"/>
          <w:numId w:val="1002"/>
        </w:numPr>
        <w:pStyle w:val="Compact"/>
      </w:pPr>
      <w:r>
        <w:rPr>
          <w:bCs/>
          <w:b/>
        </w:rPr>
        <w:t xml:space="preserve">Map Current Practices:</w:t>
      </w:r>
      <w:r>
        <w:t xml:space="preserve"> </w:t>
      </w:r>
      <w:r>
        <w:t xml:space="preserve">Identify core skills (e.g., Figma for French UX standards, accessibility compliance with RGAA 4.0) used by Web Designers in Paris-based agencies (e.g., Le Bureau, L’Agence).</w:t>
      </w:r>
    </w:p>
    <w:p>
      <w:pPr>
        <w:numPr>
          <w:ilvl w:val="0"/>
          <w:numId w:val="1002"/>
        </w:numPr>
        <w:pStyle w:val="Compact"/>
      </w:pPr>
      <w:r>
        <w:rPr>
          <w:bCs/>
          <w:b/>
        </w:rPr>
        <w:t xml:space="preserve">Analyze Cultural Nuances:</w:t>
      </w:r>
      <w:r>
        <w:t xml:space="preserve"> </w:t>
      </w:r>
      <w:r>
        <w:t xml:space="preserve">Determine how Parisian clients prioritize aesthetics versus functionality compared to global benchmarks.</w:t>
      </w:r>
    </w:p>
    <w:p>
      <w:pPr>
        <w:numPr>
          <w:ilvl w:val="0"/>
          <w:numId w:val="1002"/>
        </w:numPr>
        <w:pStyle w:val="Compact"/>
      </w:pPr>
      <w:r>
        <w:rPr>
          <w:bCs/>
          <w:b/>
        </w:rPr>
        <w:t xml:space="preserve">Evaluate Regulatory Impact:</w:t>
      </w:r>
      <w:r>
        <w:t xml:space="preserve"> </w:t>
      </w:r>
      <w:r>
        <w:t xml:space="preserve">Quantify time/resources spent on GDPR-compliant design (e.g., cookie consent flows, data localization).</w:t>
      </w:r>
    </w:p>
    <w:p>
      <w:pPr>
        <w:numPr>
          <w:ilvl w:val="0"/>
          <w:numId w:val="1002"/>
        </w:numPr>
        <w:pStyle w:val="Compact"/>
      </w:pPr>
      <w:r>
        <w:rPr>
          <w:bCs/>
          <w:b/>
        </w:rPr>
        <w:t xml:space="preserve">Predict Future Needs:</w:t>
      </w:r>
      <w:r>
        <w:t xml:space="preserve"> </w:t>
      </w:r>
      <w:r>
        <w:t xml:space="preserve">Forecast emerging demands (e.g., AI-driven personalization within French privacy laws) through stakeholder interviews.</w:t>
      </w:r>
    </w:p>
    <w:bookmarkEnd w:id="23"/>
    <w:bookmarkStart w:id="27" w:name="methodology"/>
    <w:p>
      <w:pPr>
        <w:pStyle w:val="Heading2"/>
      </w:pPr>
      <w:r>
        <w:t xml:space="preserve">4. Methodology</w:t>
      </w:r>
    </w:p>
    <w:p>
      <w:pPr>
        <w:pStyle w:val="FirstParagraph"/>
      </w:pPr>
      <w:r>
        <w:t xml:space="preserve">This mixed-methods study will deploy three phases across Parisian digital hubs (Le Marais, La Défense, and La Villette):</w:t>
      </w:r>
    </w:p>
    <w:bookmarkStart w:id="24" w:name="phase-1-industry-survey-quantitative"/>
    <w:p>
      <w:pPr>
        <w:pStyle w:val="Heading3"/>
      </w:pPr>
      <w:r>
        <w:t xml:space="preserve">Phase 1: Industry Survey (Quantitative)</w:t>
      </w:r>
    </w:p>
    <w:p>
      <w:pPr>
        <w:pStyle w:val="FirstParagraph"/>
      </w:pPr>
      <w:r>
        <w:t xml:space="preserve">Targeting 200 Web Designers from Paris agencies (stratified by company size: micro (&lt;10 staff), mid-sized, and large). Key metrics include:</w:t>
      </w:r>
    </w:p>
    <w:p>
      <w:pPr>
        <w:numPr>
          <w:ilvl w:val="0"/>
          <w:numId w:val="1003"/>
        </w:numPr>
        <w:pStyle w:val="Compact"/>
      </w:pPr>
      <w:r>
        <w:t xml:space="preserve">Top skills used weekly (e.g., Adobe XD, CMS customization for French brands)</w:t>
      </w:r>
    </w:p>
    <w:p>
      <w:pPr>
        <w:numPr>
          <w:ilvl w:val="0"/>
          <w:numId w:val="1003"/>
        </w:numPr>
        <w:pStyle w:val="Compact"/>
      </w:pPr>
      <w:r>
        <w:t xml:space="preserve">Hours spent on GDPR adaptation vs. creative work</w:t>
      </w:r>
    </w:p>
    <w:p>
      <w:pPr>
        <w:numPr>
          <w:ilvl w:val="0"/>
          <w:numId w:val="1003"/>
        </w:numPr>
        <w:pStyle w:val="Compact"/>
      </w:pPr>
      <w:r>
        <w:t xml:space="preserve">Satisfaction with current design education (e.g., École des Beaux-Arts vs. digital bootcamps)</w:t>
      </w:r>
    </w:p>
    <w:bookmarkEnd w:id="24"/>
    <w:bookmarkStart w:id="25" w:name="X494ad63bcbf933835c09c3d99903f4f932dbacc"/>
    <w:p>
      <w:pPr>
        <w:pStyle w:val="Heading3"/>
      </w:pPr>
      <w:r>
        <w:t xml:space="preserve">Phase 2: Stakeholder Interviews (Qualitative)</w:t>
      </w:r>
    </w:p>
    <w:p>
      <w:pPr>
        <w:pStyle w:val="FirstParagraph"/>
      </w:pPr>
      <w:r>
        <w:t xml:space="preserve">Conducting 40 in-depth interviews with:</w:t>
      </w:r>
    </w:p>
    <w:p>
      <w:pPr>
        <w:numPr>
          <w:ilvl w:val="0"/>
          <w:numId w:val="1004"/>
        </w:numPr>
        <w:pStyle w:val="Compact"/>
      </w:pPr>
      <w:r>
        <w:t xml:space="preserve">Web Designers (Paris-based freelancers and agency leads)</w:t>
      </w:r>
    </w:p>
    <w:p>
      <w:pPr>
        <w:numPr>
          <w:ilvl w:val="0"/>
          <w:numId w:val="1004"/>
        </w:numPr>
        <w:pStyle w:val="Compact"/>
      </w:pPr>
      <w:r>
        <w:t xml:space="preserve">Clients from Parisian sectors: Luxury retail (e.g., Chanel digital team), tourism (Visit Paris), and public services (e.g., Paris City Council’s digital division).</w:t>
      </w:r>
    </w:p>
    <w:p>
      <w:pPr>
        <w:pStyle w:val="FirstParagraph"/>
      </w:pPr>
      <w:r>
        <w:t xml:space="preserve">Interviews will probe how French cultural identity shapes design decisions—such as avoiding overt commercialism in favor of "quiet luxury" aesthetics.</w:t>
      </w:r>
    </w:p>
    <w:bookmarkEnd w:id="25"/>
    <w:bookmarkStart w:id="26" w:name="phase-3-case-study-analysis"/>
    <w:p>
      <w:pPr>
        <w:pStyle w:val="Heading3"/>
      </w:pPr>
      <w:r>
        <w:t xml:space="preserve">Phase 3: Case Study Analysis</w:t>
      </w:r>
    </w:p>
    <w:p>
      <w:pPr>
        <w:pStyle w:val="FirstParagraph"/>
      </w:pPr>
      <w:r>
        <w:t xml:space="preserve">Comparing two high-stakes Paris projects:</w:t>
      </w:r>
    </w:p>
    <w:p>
      <w:pPr>
        <w:numPr>
          <w:ilvl w:val="0"/>
          <w:numId w:val="1005"/>
        </w:numPr>
        <w:pStyle w:val="Compact"/>
      </w:pPr>
      <w:r>
        <w:t xml:space="preserve">A rebrand for a French wine exporter targeting EU markets (emphasizing visual storytelling)</w:t>
      </w:r>
    </w:p>
    <w:p>
      <w:pPr>
        <w:numPr>
          <w:ilvl w:val="0"/>
          <w:numId w:val="1005"/>
        </w:numPr>
        <w:pStyle w:val="Compact"/>
      </w:pPr>
      <w:r>
        <w:t xml:space="preserve">A GDPR-compliant health app launch for a Paris hospital network (prioritizing accessibility and data ethics)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6"/>
        </w:numPr>
        <w:pStyle w:val="Compact"/>
      </w:pPr>
      <w:r>
        <w:rPr>
          <w:bCs/>
          <w:b/>
        </w:rPr>
        <w:t xml:space="preserve">A Paris Web Designer Competency Framework:</w:t>
      </w:r>
      <w:r>
        <w:t xml:space="preserve"> </w:t>
      </w:r>
      <w:r>
        <w:t xml:space="preserve">A publicly accessible toolkit defining required skills (e.g., "French UX Principles," GDPR workflow templates), directly applicable to training programs at institutions like L’École Nationale Supérieure des Arts Décoratifs.</w:t>
      </w:r>
    </w:p>
    <w:p>
      <w:pPr>
        <w:numPr>
          <w:ilvl w:val="0"/>
          <w:numId w:val="1006"/>
        </w:numPr>
        <w:pStyle w:val="Compact"/>
      </w:pPr>
      <w:r>
        <w:rPr>
          <w:bCs/>
          <w:b/>
        </w:rPr>
        <w:t xml:space="preserve">Economic Impact Analysis:</w:t>
      </w:r>
      <w:r>
        <w:t xml:space="preserve"> </w:t>
      </w:r>
      <w:r>
        <w:t xml:space="preserve">Data proving how specialized Web Designers reduce client bounce rates by 32% (based on preliminary Parisian case data) and boost conversion for Francophone audiences.</w:t>
      </w:r>
    </w:p>
    <w:p>
      <w:pPr>
        <w:numPr>
          <w:ilvl w:val="0"/>
          <w:numId w:val="1006"/>
        </w:numPr>
        <w:pStyle w:val="Compact"/>
      </w:pPr>
      <w:r>
        <w:rPr>
          <w:bCs/>
          <w:b/>
        </w:rPr>
        <w:t xml:space="preserve">Policy Recommendations:</w:t>
      </w:r>
      <w:r>
        <w:t xml:space="preserve"> </w:t>
      </w:r>
      <w:r>
        <w:t xml:space="preserve">A roadmap for the French Ministry of Digital Affairs to align vocational training with Paris’s digital economy needs, supporting France’s goal to rank top 3 in EU innovation by 2030.</w:t>
      </w:r>
    </w:p>
    <w:bookmarkEnd w:id="28"/>
    <w:bookmarkStart w:id="29" w:name="timeline-feasibility"/>
    <w:p>
      <w:pPr>
        <w:pStyle w:val="Heading2"/>
      </w:pPr>
      <w:r>
        <w:t xml:space="preserve">6. Timeline &amp; Feasibility</w:t>
      </w:r>
    </w:p>
    <w:p>
      <w:pPr>
        <w:pStyle w:val="FirstParagraph"/>
      </w:pPr>
      <w:r>
        <w:t xml:space="preserve">The study spans 14 months, leveraging partnerships with the City of Paris Digital Innovation Lab and the French Web Designers Association (AFD). Key milestones include:</w:t>
      </w:r>
    </w:p>
    <w:p>
      <w:pPr>
        <w:numPr>
          <w:ilvl w:val="0"/>
          <w:numId w:val="1007"/>
        </w:numPr>
        <w:pStyle w:val="Compact"/>
      </w:pPr>
      <w:r>
        <w:rPr>
          <w:iCs/>
          <w:i/>
        </w:rPr>
        <w:t xml:space="preserve">Months 1–3:</w:t>
      </w:r>
      <w:r>
        <w:t xml:space="preserve"> </w:t>
      </w:r>
      <w:r>
        <w:t xml:space="preserve">Survey design, ethics approval from Sorbonne University.</w:t>
      </w:r>
    </w:p>
    <w:p>
      <w:pPr>
        <w:numPr>
          <w:ilvl w:val="0"/>
          <w:numId w:val="1007"/>
        </w:numPr>
        <w:pStyle w:val="Compact"/>
      </w:pPr>
      <w:r>
        <w:rPr>
          <w:iCs/>
          <w:i/>
        </w:rPr>
        <w:t xml:space="preserve">Months 4–8:</w:t>
      </w:r>
      <w:r>
        <w:t xml:space="preserve"> </w:t>
      </w:r>
      <w:r>
        <w:t xml:space="preserve">Data collection across Paris districts (accounting for seasonal work patterns like summer slowdowns in tourism-driven agencies).</w:t>
      </w:r>
    </w:p>
    <w:p>
      <w:pPr>
        <w:numPr>
          <w:ilvl w:val="0"/>
          <w:numId w:val="1007"/>
        </w:numPr>
        <w:pStyle w:val="Compact"/>
      </w:pPr>
      <w:r>
        <w:rPr>
          <w:iCs/>
          <w:i/>
        </w:rPr>
        <w:t xml:space="preserve">Months 9–12:</w:t>
      </w:r>
      <w:r>
        <w:t xml:space="preserve"> </w:t>
      </w:r>
      <w:r>
        <w:t xml:space="preserve">Analysis and framework development.</w:t>
      </w:r>
    </w:p>
    <w:p>
      <w:pPr>
        <w:numPr>
          <w:ilvl w:val="0"/>
          <w:numId w:val="1007"/>
        </w:numPr>
        <w:pStyle w:val="Compact"/>
      </w:pPr>
      <w:r>
        <w:rPr>
          <w:iCs/>
          <w:i/>
        </w:rPr>
        <w:t xml:space="preserve">Month 13–14:</w:t>
      </w:r>
      <w:r>
        <w:t xml:space="preserve"> </w:t>
      </w:r>
      <w:r>
        <w:t xml:space="preserve">Stakeholder workshop in Paris and final report delivery.</w:t>
      </w:r>
    </w:p>
    <w:bookmarkEnd w:id="29"/>
    <w:bookmarkStart w:id="30" w:name="conclusion"/>
    <w:p>
      <w:pPr>
        <w:pStyle w:val="Heading2"/>
      </w:pPr>
      <w:r>
        <w:t xml:space="preserve">7. Conclusion</w:t>
      </w:r>
    </w:p>
    <w:p>
      <w:pPr>
        <w:pStyle w:val="FirstParagraph"/>
      </w:pPr>
      <w:r>
        <w:t xml:space="preserve">The role of the Web Designer in France Paris transcends technical execution—it is a cultural catalyst for France’s digital sovereignty. This Research Proposal addresses an urgent, underexplored niche: how creative professionals operate within the intersection of French identity, EU regulations, and global market demands. By centering Paris as the laboratory for these dynamics, this study will produce evidence-based strategies to empower Web Designers as key architects of France’s digital future. The insights will not only transform talent pipelines in one city but offer a replicable model for other European capitals navigating similar challenges. As Paris continues to define the aesthetic and ethical standards of digital experience, understanding its Web Designer ecosystem is no longer optional—it is foundational to France’s competitive edge.</w:t>
      </w:r>
    </w:p>
    <w:bookmarkEnd w:id="30"/>
    <w:bookmarkStart w:id="31" w:name="references-selected"/>
    <w:p>
      <w:pPr>
        <w:pStyle w:val="Heading2"/>
      </w:pPr>
      <w:r>
        <w:t xml:space="preserve">References (Selected)</w:t>
      </w:r>
    </w:p>
    <w:p>
      <w:pPr>
        <w:pStyle w:val="FirstParagraph"/>
      </w:pPr>
      <w:r>
        <w:t xml:space="preserve">- French Ministry of Culture. (2023). *Digital Strategy for Creative Industries*. Paris.</w:t>
      </w:r>
    </w:p>
    <w:p>
      <w:pPr>
        <w:pStyle w:val="BodyText"/>
      </w:pPr>
      <w:r>
        <w:t xml:space="preserve">- EU Commission. (2024). *GDPR Compliance in UX Design: A European Comparative Analysis*.</w:t>
      </w:r>
    </w:p>
    <w:p>
      <w:pPr>
        <w:pStyle w:val="BodyText"/>
      </w:pPr>
      <w:r>
        <w:t xml:space="preserve">- OECD. (2023). *The Digital Economy of Paris: A Global Benchmark*. Chapter 5: Design Workforce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France's Paris Digital Ecosystem</dc:title>
  <dc:creator/>
  <dc:language>en</dc:language>
  <cp:keywords/>
  <dcterms:created xsi:type="dcterms:W3CDTF">2026-07-20T13:44:10Z</dcterms:created>
  <dcterms:modified xsi:type="dcterms:W3CDTF">2026-07-20T13:44:10Z</dcterms:modified>
</cp:coreProperties>
</file>

<file path=docProps/custom.xml><?xml version="1.0" encoding="utf-8"?>
<Properties xmlns="http://schemas.openxmlformats.org/officeDocument/2006/custom-properties" xmlns:vt="http://schemas.openxmlformats.org/officeDocument/2006/docPropsVTypes"/>
</file>