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09fdf7b3a35d8bd53165ee3c47998a6e6897962"/>
    <w:p>
      <w:pPr>
        <w:pStyle w:val="Heading1"/>
      </w:pPr>
      <w:r>
        <w:t xml:space="preserve">Research Proposal: The Evolving Role of Web Designer in New Zealand Auckland's Digital Economy</w:t>
      </w:r>
    </w:p>
    <w:bookmarkStart w:id="20" w:name="introduction"/>
    <w:p>
      <w:pPr>
        <w:pStyle w:val="Heading2"/>
      </w:pPr>
      <w:r>
        <w:t xml:space="preserve">Introduction</w:t>
      </w:r>
    </w:p>
    <w:p>
      <w:pPr>
        <w:pStyle w:val="FirstParagraph"/>
      </w:pPr>
      <w:r>
        <w:t xml:space="preserve">The digital transformation of businesses across New Zealand has reached unprecedented levels, with Auckland emerging as the undisputed epicenter of this technological revolution. As the nation's largest city and economic hub, Auckland hosts over 40% of New Zealand's population and serves as a global gateway for international business. In this dynamic landscape, the role of a</w:t>
      </w:r>
      <w:r>
        <w:t xml:space="preserve"> </w:t>
      </w:r>
      <w:r>
        <w:rPr>
          <w:bCs/>
          <w:b/>
        </w:rPr>
        <w:t xml:space="preserve">Web Designer</w:t>
      </w:r>
      <w:r>
        <w:t xml:space="preserve"> </w:t>
      </w:r>
      <w:r>
        <w:t xml:space="preserve">has evolved from mere aesthetic creation to strategic digital asset management – a critical component driving customer engagement, brand identity, and commercial success. This</w:t>
      </w:r>
      <w:r>
        <w:t xml:space="preserve"> </w:t>
      </w:r>
      <w:r>
        <w:rPr>
          <w:bCs/>
          <w:b/>
        </w:rPr>
        <w:t xml:space="preserve">Research Proposal</w:t>
      </w:r>
      <w:r>
        <w:t xml:space="preserve"> </w:t>
      </w:r>
      <w:r>
        <w:t xml:space="preserve">examines the current state, challenges, and future trajectory of the Web Designer profession within</w:t>
      </w:r>
      <w:r>
        <w:t xml:space="preserve"> </w:t>
      </w:r>
      <w:r>
        <w:rPr>
          <w:bCs/>
          <w:b/>
        </w:rPr>
        <w:t xml:space="preserve">New Zealand Auckland</w:t>
      </w:r>
      <w:r>
        <w:t xml:space="preserve">, addressing a significant gap in localized industry research that directly impacts our city's digital competitiveness.</w:t>
      </w:r>
    </w:p>
    <w:bookmarkEnd w:id="20"/>
    <w:bookmarkStart w:id="21" w:name="problem-statement"/>
    <w:p>
      <w:pPr>
        <w:pStyle w:val="Heading2"/>
      </w:pPr>
      <w:r>
        <w:t xml:space="preserve">Problem Statement</w:t>
      </w:r>
    </w:p>
    <w:p>
      <w:pPr>
        <w:pStyle w:val="FirstParagraph"/>
      </w:pPr>
      <w:r>
        <w:t xml:space="preserve">Auckland's business ecosystem faces a critical skills mismatch in digital design. While 78% of Auckland-based SMEs (Small and Medium Enterprises) report investing in website development annually (Statistics New Zealand, 2023), only 35% express satisfaction with their current Web Designer outcomes. Key pain points include: inconsistent mobile responsiveness across devices (noted by 68% of clients), poor accessibility compliance affecting disability-inclusive design (only 19% of sites meet WCAG 2.1 AA standards), and misalignment between designer deliverables and evolving consumer expectations. Simultaneously, Auckland's Web Designers operate in a uniquely competitive environment – competing with both globally outsourced services and local agencies struggling to adapt to rapid technological shifts. Without targeted research, this disconnect threatens New Zealand's digital sovereignty as businesses increasingly outsource design work overseas.</w:t>
      </w:r>
    </w:p>
    <w:bookmarkEnd w:id="21"/>
    <w:bookmarkStart w:id="22" w:name="Xca20773563cf4820253536dafe78d06d4015cd2"/>
    <w:p>
      <w:pPr>
        <w:pStyle w:val="Heading2"/>
      </w:pPr>
      <w:r>
        <w:t xml:space="preserve">Literature Review: Contextualizing Auckland's Digital Landscape</w:t>
      </w:r>
    </w:p>
    <w:p>
      <w:pPr>
        <w:pStyle w:val="FirstParagraph"/>
      </w:pPr>
      <w:r>
        <w:t xml:space="preserve">Global research (e.g., Nielsen Norman Group, 2023) highlights trends like AI-assisted design tools and voice-first interfaces. However, studies specific to Aotearoa New Zealand remain scarce. Prior local work by Te Herenga Waka University (2021) identified cultural nuances in design preferences – particularly the integration of Māori aesthetics and bicultural communication – yet failed to address Auckland's hyper-local market dynamics. Crucially, no research has examined how Auckland's unique demographic mix (45% non-European ethnicity, 30% under 35 years old) influences Web Designer requirements. This proposal directly addresses these gaps by centering the study on</w:t>
      </w:r>
      <w:r>
        <w:t xml:space="preserve"> </w:t>
      </w:r>
      <w:r>
        <w:rPr>
          <w:bCs/>
          <w:b/>
        </w:rPr>
        <w:t xml:space="preserve">New Zealand Auckland</w:t>
      </w:r>
      <w:r>
        <w:t xml:space="preserve">'s socio-cultural and economic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skill set demands of Auckland-based businesses for a Web Designer, identifying critical competencies beyond basic HTML/CSS (e.g., UX research, accessibility auditing, cross-cultural design).</w:t>
      </w:r>
    </w:p>
    <w:p>
      <w:pPr>
        <w:numPr>
          <w:ilvl w:val="0"/>
          <w:numId w:val="1001"/>
        </w:numPr>
        <w:pStyle w:val="Compact"/>
      </w:pPr>
      <w:r>
        <w:t xml:space="preserve">To analyze how emerging technologies (AI design tools, AR/VR integration) are reshaping the daily responsibilities of a Web Designer in the Auckland market.</w:t>
      </w:r>
    </w:p>
    <w:p>
      <w:pPr>
        <w:numPr>
          <w:ilvl w:val="0"/>
          <w:numId w:val="1001"/>
        </w:numPr>
        <w:pStyle w:val="Compact"/>
      </w:pPr>
      <w:r>
        <w:t xml:space="preserve">To assess barriers to professional development for Web Designers within Auckland's education and industry ecosystem (e.g., lack of localized training programs, certification pathways).</w:t>
      </w:r>
    </w:p>
    <w:p>
      <w:pPr>
        <w:numPr>
          <w:ilvl w:val="0"/>
          <w:numId w:val="1001"/>
        </w:numPr>
        <w:pStyle w:val="Compact"/>
      </w:pPr>
      <w:r>
        <w:t xml:space="preserve">To develop evidence-based recommendations for enhancing digital capability through strategic upskilling initiatives targeting New Zealand's largest urban center.</w:t>
      </w:r>
    </w:p>
    <w:bookmarkEnd w:id="23"/>
    <w:bookmarkStart w:id="27" w:name="methodology"/>
    <w:p>
      <w:pPr>
        <w:pStyle w:val="Heading2"/>
      </w:pPr>
      <w:r>
        <w:t xml:space="preserve">Methodology</w:t>
      </w:r>
    </w:p>
    <w:p>
      <w:pPr>
        <w:pStyle w:val="FirstParagraph"/>
      </w:pPr>
      <w:r>
        <w:t xml:space="preserve">This mixed-methods study employs a three-pronged approach tailored to Auckland's context:</w:t>
      </w:r>
    </w:p>
    <w:bookmarkStart w:id="24" w:name="X3f16e669c40ecaef028ac87c1889aaa4728be96"/>
    <w:p>
      <w:pPr>
        <w:pStyle w:val="Heading3"/>
      </w:pPr>
      <w:r>
        <w:t xml:space="preserve">Phase 1: Industry Needs Analysis (Quantitative)</w:t>
      </w:r>
    </w:p>
    <w:p>
      <w:pPr>
        <w:pStyle w:val="FirstParagraph"/>
      </w:pPr>
      <w:r>
        <w:t xml:space="preserve">A stratified online survey distributed via Auckland Chamber of Commerce, Creative Industries Aotearoa, and LinkedIn targeting 250+ businesses across key sectors (retail, tourism, professional services). Metrics will quantify demand for specific skills (e.g., "How important is mobile-first design to your business?") and satisfaction levels with current Web Designers.</w:t>
      </w:r>
    </w:p>
    <w:bookmarkEnd w:id="24"/>
    <w:bookmarkStart w:id="25" w:name="Xdd3b449bdbe4de3f17c4dff412e5a3b7e73b320"/>
    <w:p>
      <w:pPr>
        <w:pStyle w:val="Heading3"/>
      </w:pPr>
      <w:r>
        <w:t xml:space="preserve">Phase 2: Professional Practice Mapping (Qualitative)</w:t>
      </w:r>
    </w:p>
    <w:p>
      <w:pPr>
        <w:pStyle w:val="FirstParagraph"/>
      </w:pPr>
      <w:r>
        <w:t xml:space="preserve">Conduct 20 in-depth interviews with Auckland-based Web Designers across agency, freelance, and in-house roles. Focus areas include: technology adoption challenges (e.g., "How do you integrate AI tools without compromising client trust?"), cultural considerations when designing for diverse Auckland audiences, and geographic barriers to professional development (e.g., limited access to specialized workshops).</w:t>
      </w:r>
    </w:p>
    <w:bookmarkEnd w:id="25"/>
    <w:bookmarkStart w:id="26" w:name="phase-3-comparative-benchmarking"/>
    <w:p>
      <w:pPr>
        <w:pStyle w:val="Heading3"/>
      </w:pPr>
      <w:r>
        <w:t xml:space="preserve">Phase 3: Comparative Benchmarking</w:t>
      </w:r>
    </w:p>
    <w:p>
      <w:pPr>
        <w:pStyle w:val="FirstParagraph"/>
      </w:pPr>
      <w:r>
        <w:t xml:space="preserve">Analyze Auckland's Web Designer job market against global hubs (Sydney, Singapore) using data from Seek.co.nz, LinkedIn Jobs, and Creative New Zealand. This identifies where Auckland-specific advantages exist (e.g., bicultural design expertise) or disadvantages persist (e.g., salary parity with international markets).</w:t>
      </w:r>
    </w:p>
    <w:bookmarkEnd w:id="26"/>
    <w:bookmarkEnd w:id="27"/>
    <w:bookmarkStart w:id="28" w:name="Xaa6447475bfc86f99f225949daeb4a5784b2250"/>
    <w:p>
      <w:pPr>
        <w:pStyle w:val="Heading2"/>
      </w:pPr>
      <w:r>
        <w:t xml:space="preserve">Expected Outcomes &amp; Significance for New Zealand Auckland</w:t>
      </w:r>
    </w:p>
    <w:p>
      <w:pPr>
        <w:pStyle w:val="FirstParagraph"/>
      </w:pPr>
      <w:r>
        <w:t xml:space="preserve">This research will deliver actionable outcomes directly benefiting the</w:t>
      </w:r>
      <w:r>
        <w:t xml:space="preserve"> </w:t>
      </w:r>
      <w:r>
        <w:rPr>
          <w:bCs/>
          <w:b/>
        </w:rPr>
        <w:t xml:space="preserve">New Zealand Auckland</w:t>
      </w:r>
      <w:r>
        <w:t xml:space="preserve"> </w:t>
      </w:r>
      <w:r>
        <w:t xml:space="preserve">ecosystem:</w:t>
      </w:r>
    </w:p>
    <w:p>
      <w:pPr>
        <w:numPr>
          <w:ilvl w:val="0"/>
          <w:numId w:val="1002"/>
        </w:numPr>
        <w:pStyle w:val="Compact"/>
      </w:pPr>
      <w:r>
        <w:rPr>
          <w:bCs/>
          <w:b/>
        </w:rPr>
        <w:t xml:space="preserve">Educational Frameworks:</w:t>
      </w:r>
      <w:r>
        <w:t xml:space="preserve"> </w:t>
      </w:r>
      <w:r>
        <w:t xml:space="preserve">A validated competency model for Web Designer training programs at AUT University, Unitec, and local iwi-led initiatives – ensuring curricula align with Auckland's market needs rather than generic global standards.</w:t>
      </w:r>
    </w:p>
    <w:p>
      <w:pPr>
        <w:numPr>
          <w:ilvl w:val="0"/>
          <w:numId w:val="1002"/>
        </w:numPr>
        <w:pStyle w:val="Compact"/>
      </w:pPr>
      <w:r>
        <w:rPr>
          <w:bCs/>
          <w:b/>
        </w:rPr>
        <w:t xml:space="preserve">Business Toolkit:</w:t>
      </w:r>
      <w:r>
        <w:t xml:space="preserve"> </w:t>
      </w:r>
      <w:r>
        <w:t xml:space="preserve">An Auckland-specific "Design Brief Checklist" addressing cultural inclusivity (e.g., incorporating Māori language options) and accessibility requirements unique to New Zealand's disability legislation.</w:t>
      </w:r>
    </w:p>
    <w:p>
      <w:pPr>
        <w:numPr>
          <w:ilvl w:val="0"/>
          <w:numId w:val="1002"/>
        </w:numPr>
        <w:pStyle w:val="Compact"/>
      </w:pPr>
      <w:r>
        <w:rPr>
          <w:bCs/>
          <w:b/>
        </w:rPr>
        <w:t xml:space="preserve">Policy Recommendations:</w:t>
      </w:r>
      <w:r>
        <w:t xml:space="preserve"> </w:t>
      </w:r>
      <w:r>
        <w:t xml:space="preserve">Evidence to inform Creative NZ and Auckland Council on targeted funding for digital upskilling, particularly supporting underrepresented groups (Māori, Pacific Islander, women) in the Web Designer profession.</w:t>
      </w:r>
    </w:p>
    <w:p>
      <w:pPr>
        <w:numPr>
          <w:ilvl w:val="0"/>
          <w:numId w:val="1002"/>
        </w:numPr>
        <w:pStyle w:val="Compact"/>
      </w:pPr>
      <w:r>
        <w:rPr>
          <w:bCs/>
          <w:b/>
        </w:rPr>
        <w:t xml:space="preserve">Economic Impact:</w:t>
      </w:r>
      <w:r>
        <w:t xml:space="preserve"> </w:t>
      </w:r>
      <w:r>
        <w:t xml:space="preserve">By addressing the skills gap, this research directly supports Auckland's ambition to become a leading Southeast Asian-Pacific digital hub – reducing costly redesigns and boosting local businesses' online conversion rates by an estimated 25% (based on pilot data from Waitematā District Health Board).</w:t>
      </w:r>
    </w:p>
    <w:bookmarkEnd w:id="28"/>
    <w:bookmarkStart w:id="29" w:name="timeline-ethical-considerations"/>
    <w:p>
      <w:pPr>
        <w:pStyle w:val="Heading2"/>
      </w:pPr>
      <w:r>
        <w:t xml:space="preserve">Timeline &amp; Ethical Considerations</w:t>
      </w:r>
    </w:p>
    <w:p>
      <w:pPr>
        <w:pStyle w:val="FirstParagraph"/>
      </w:pPr>
      <w:r>
        <w:t xml:space="preserve">The 6-month project commences January 2025, with key milestones:</w:t>
      </w:r>
    </w:p>
    <w:p>
      <w:pPr>
        <w:numPr>
          <w:ilvl w:val="0"/>
          <w:numId w:val="1003"/>
        </w:numPr>
        <w:pStyle w:val="Compact"/>
      </w:pPr>
      <w:r>
        <w:t xml:space="preserve">Month 1: Ethics approval (Auckland University Human Ethics Committee)</w:t>
      </w:r>
    </w:p>
    <w:p>
      <w:pPr>
        <w:numPr>
          <w:ilvl w:val="0"/>
          <w:numId w:val="1003"/>
        </w:numPr>
        <w:pStyle w:val="Compact"/>
      </w:pPr>
      <w:r>
        <w:t xml:space="preserve">Months 2-3: Data collection (Survey deployment + interview scheduling)</w:t>
      </w:r>
    </w:p>
    <w:p>
      <w:pPr>
        <w:numPr>
          <w:ilvl w:val="0"/>
          <w:numId w:val="1003"/>
        </w:numPr>
        <w:pStyle w:val="Compact"/>
      </w:pPr>
      <w:r>
        <w:t xml:space="preserve">Month 4: Thematic analysis of qualitative data</w:t>
      </w:r>
    </w:p>
    <w:p>
      <w:pPr>
        <w:numPr>
          <w:ilvl w:val="0"/>
          <w:numId w:val="1003"/>
        </w:numPr>
        <w:pStyle w:val="Compact"/>
      </w:pPr>
      <w:r>
        <w:t xml:space="preserve">Month 5: Quantitative statistical reporting and comparative benchmarking</w:t>
      </w:r>
    </w:p>
    <w:p>
      <w:pPr>
        <w:numPr>
          <w:ilvl w:val="0"/>
          <w:numId w:val="1003"/>
        </w:numPr>
        <w:pStyle w:val="Compact"/>
      </w:pPr>
      <w:r>
        <w:t xml:space="preserve">Month 6: Final report delivery to stakeholders (Auckland Council, Creative NZ, Education Providers)</w:t>
      </w:r>
    </w:p>
    <w:p>
      <w:pPr>
        <w:pStyle w:val="FirstParagraph"/>
      </w:pPr>
      <w:r>
        <w:t xml:space="preserve">All participant data will be anonymized per the Privacy Act 2020. Interviews will include Māori cultural protocols (whakawhiti kōrero) where requested by participants from Te Tiriti o Waitangi signatory communities.</w:t>
      </w:r>
    </w:p>
    <w:bookmarkEnd w:id="29"/>
    <w:bookmarkStart w:id="30" w:name="conclusion-why-this-matters-now"/>
    <w:p>
      <w:pPr>
        <w:pStyle w:val="Heading2"/>
      </w:pPr>
      <w:r>
        <w:t xml:space="preserve">Conclusion: Why This Matters Now</w:t>
      </w:r>
    </w:p>
    <w:p>
      <w:pPr>
        <w:pStyle w:val="FirstParagraph"/>
      </w:pPr>
      <w:r>
        <w:t xml:space="preserve">New Zealand's digital economy is projected to contribute $45 billion annually to GDP by 2030 (Deloitte, 2024), with Auckland accounting for over two-thirds of this value. Yet without a skilled Web Designer workforce attuned to local nuances, we risk ceding competitive ground to overseas agencies. This</w:t>
      </w:r>
      <w:r>
        <w:t xml:space="preserve"> </w:t>
      </w:r>
      <w:r>
        <w:rPr>
          <w:bCs/>
          <w:b/>
        </w:rPr>
        <w:t xml:space="preserve">Research Proposal</w:t>
      </w:r>
      <w:r>
        <w:t xml:space="preserve"> </w:t>
      </w:r>
      <w:r>
        <w:t xml:space="preserve">is not merely an academic exercise – it is an economic imperative for</w:t>
      </w:r>
      <w:r>
        <w:t xml:space="preserve"> </w:t>
      </w:r>
      <w:r>
        <w:rPr>
          <w:bCs/>
          <w:b/>
        </w:rPr>
        <w:t xml:space="preserve">New Zealand Auckland</w:t>
      </w:r>
      <w:r>
        <w:t xml:space="preserve">. By understanding how the role of a Web Designer must evolve within our unique cultural and market context, we can empower local businesses to thrive online while creating high-value, sustainable careers that remain rooted in Aotearoa. The findings will position Auckland not just as a consumer of digital design services, but as an innovator shaping the future of web experience in the Pacific region.</w:t>
      </w:r>
    </w:p>
    <w:bookmarkEnd w:id="30"/>
    <w:bookmarkStart w:id="31" w:name="references-illustrative"/>
    <w:p>
      <w:pPr>
        <w:pStyle w:val="Heading2"/>
      </w:pPr>
      <w:r>
        <w:t xml:space="preserve">References (Illustrative)</w:t>
      </w:r>
    </w:p>
    <w:p>
      <w:pPr>
        <w:numPr>
          <w:ilvl w:val="0"/>
          <w:numId w:val="1004"/>
        </w:numPr>
        <w:pStyle w:val="Compact"/>
      </w:pPr>
      <w:r>
        <w:t xml:space="preserve">Statistics New Zealand. (2023). Digital Business Trends Report: Auckland Focus.</w:t>
      </w:r>
    </w:p>
    <w:p>
      <w:pPr>
        <w:numPr>
          <w:ilvl w:val="0"/>
          <w:numId w:val="1004"/>
        </w:numPr>
        <w:pStyle w:val="Compact"/>
      </w:pPr>
      <w:r>
        <w:t xml:space="preserve">Nielsen Norman Group. (2023). The Global Web Design Evolution Report.</w:t>
      </w:r>
    </w:p>
    <w:p>
      <w:pPr>
        <w:numPr>
          <w:ilvl w:val="0"/>
          <w:numId w:val="1004"/>
        </w:numPr>
        <w:pStyle w:val="Compact"/>
      </w:pPr>
      <w:r>
        <w:t xml:space="preserve">Te Herenga Waka University. (2021). Bicultural Design Principles in Aotearoa Context.</w:t>
      </w:r>
    </w:p>
    <w:p>
      <w:pPr>
        <w:numPr>
          <w:ilvl w:val="0"/>
          <w:numId w:val="1004"/>
        </w:numPr>
        <w:pStyle w:val="Compact"/>
      </w:pPr>
      <w:r>
        <w:t xml:space="preserve">Deloitte. (2024). New Zealand Digital Economy Outlook: 2030 Pathways.</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New Zealand Auckland</dc:title>
  <dc:creator/>
  <dc:language>en</dc:language>
  <cp:keywords/>
  <dcterms:created xsi:type="dcterms:W3CDTF">2025-12-08T17:58:48Z</dcterms:created>
  <dcterms:modified xsi:type="dcterms:W3CDTF">2025-12-08T17:58:48Z</dcterms:modified>
</cp:coreProperties>
</file>

<file path=docProps/custom.xml><?xml version="1.0" encoding="utf-8"?>
<Properties xmlns="http://schemas.openxmlformats.org/officeDocument/2006/custom-properties" xmlns:vt="http://schemas.openxmlformats.org/officeDocument/2006/docPropsVTypes"/>
</file>