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4" w:name="X9a83e39b1d970511843c4722833f9576ead22af"/>
    <w:p>
      <w:pPr>
        <w:pStyle w:val="Heading1"/>
      </w:pPr>
      <w:r>
        <w:t xml:space="preserve">Research Proposal: Advancing Web Designer Excellence in Riyadh, Saudi Arabia</w:t>
      </w:r>
    </w:p>
    <w:bookmarkStart w:id="20" w:name="introduction-and-background"/>
    <w:p>
      <w:pPr>
        <w:pStyle w:val="Heading2"/>
      </w:pPr>
      <w:r>
        <w:t xml:space="preserve">1. Introduction and Background</w:t>
      </w:r>
    </w:p>
    <w:p>
      <w:pPr>
        <w:pStyle w:val="FirstParagraph"/>
      </w:pPr>
      <w:r>
        <w:t xml:space="preserve">The digital transformation wave sweeping across Saudi Arabia's Vision 2030 initiative has positioned Riyadh as a dynamic hub for technological innovation. As the capital city accelerates its digital infrastructure development, the demand for skilled Web Designers has surged exponentially. However, a critical gap persists between industry requirements and available talent within the local market. This Research Proposal addresses the urgent need to analyze and enhance Web Designer capabilities specifically tailored to Riyadh's unique cultural, economic, and technological landscape. With Saudi Arabia's e-commerce market projected to reach $65 billion by 2025 (Statista, 2023) and Riyadh hosting over 60% of the nation's tech startups (Saudi Central Bank, 2024), understanding the precise skillset required for Web Designers in this context is no longer optional—it is strategic imperative.</w:t>
      </w:r>
    </w:p>
    <w:bookmarkEnd w:id="20"/>
    <w:bookmarkStart w:id="21" w:name="problem-statement"/>
    <w:p>
      <w:pPr>
        <w:pStyle w:val="Heading2"/>
      </w:pPr>
      <w:r>
        <w:t xml:space="preserve">2. Problem Statement</w:t>
      </w:r>
    </w:p>
    <w:p>
      <w:pPr>
        <w:pStyle w:val="FirstParagraph"/>
      </w:pPr>
      <w:r>
        <w:t xml:space="preserve">Current Web Designer training programs in Riyadh predominantly focus on generic international frameworks, neglecting Saudi Arabia's specific cultural nuances, regulatory environment (including data localization laws under NCA), and market expectations. This disconnect manifests in three critical challenges:</w:t>
      </w:r>
    </w:p>
    <w:p>
      <w:pPr>
        <w:numPr>
          <w:ilvl w:val="0"/>
          <w:numId w:val="1001"/>
        </w:numPr>
        <w:pStyle w:val="Compact"/>
      </w:pPr>
      <w:r>
        <w:rPr>
          <w:bCs/>
          <w:b/>
        </w:rPr>
        <w:t xml:space="preserve">Cultural Misalignment:</w:t>
      </w:r>
      <w:r>
        <w:t xml:space="preserve"> </w:t>
      </w:r>
      <w:r>
        <w:t xml:space="preserve">Websites often fail to incorporate Islamic design principles or Arabic typography standards, alienating local users</w:t>
      </w:r>
    </w:p>
    <w:p>
      <w:pPr>
        <w:numPr>
          <w:ilvl w:val="0"/>
          <w:numId w:val="1001"/>
        </w:numPr>
        <w:pStyle w:val="Compact"/>
      </w:pPr>
      <w:r>
        <w:rPr>
          <w:bCs/>
          <w:b/>
        </w:rPr>
        <w:t xml:space="preserve">Regulatory Non-Compliance:</w:t>
      </w:r>
      <w:r>
        <w:t xml:space="preserve"> </w:t>
      </w:r>
      <w:r>
        <w:t xml:space="preserve">Designers lack awareness of Saudi Arabia's evolving digital laws governing content, data privacy (PDPL), and accessibility requirements</w:t>
      </w:r>
    </w:p>
    <w:p>
      <w:pPr>
        <w:numPr>
          <w:ilvl w:val="0"/>
          <w:numId w:val="1001"/>
        </w:numPr>
        <w:pStyle w:val="Compact"/>
      </w:pPr>
      <w:r>
        <w:rPr>
          <w:bCs/>
          <w:b/>
        </w:rPr>
        <w:t xml:space="preserve">Market Misalignment:</w:t>
      </w:r>
      <w:r>
        <w:t xml:space="preserve"> </w:t>
      </w:r>
      <w:r>
        <w:t xml:space="preserve">78% of Riyadh-based businesses report dissatisfaction with web designs that don't reflect local consumer behavior patterns (King Abdulaziz University Survey, 2023)</w:t>
      </w:r>
    </w:p>
    <w:p>
      <w:pPr>
        <w:pStyle w:val="FirstParagraph"/>
      </w:pPr>
      <w:r>
        <w:t xml:space="preserve">This research directly addresses these gaps by investigating how Web Designers can be effectively equipped to serve Riyadh's distinct digital ecosystem while advancing national digital goals.</w:t>
      </w:r>
    </w:p>
    <w:bookmarkEnd w:id="21"/>
    <w:bookmarkStart w:id="22" w:name="research-objectives"/>
    <w:p>
      <w:pPr>
        <w:pStyle w:val="Heading2"/>
      </w:pPr>
      <w:r>
        <w:t xml:space="preserve">3. Research Objectives</w:t>
      </w:r>
    </w:p>
    <w:p>
      <w:pPr>
        <w:numPr>
          <w:ilvl w:val="0"/>
          <w:numId w:val="1002"/>
        </w:numPr>
        <w:pStyle w:val="Compact"/>
      </w:pPr>
      <w:r>
        <w:t xml:space="preserve">Analyze Saudi Arabia's Vision 2030 digital transformation requirements as they apply to Web Designer competencies in Riyadh</w:t>
      </w:r>
    </w:p>
    <w:p>
      <w:pPr>
        <w:numPr>
          <w:ilvl w:val="0"/>
          <w:numId w:val="1002"/>
        </w:numPr>
        <w:pStyle w:val="Compact"/>
      </w:pPr>
      <w:r>
        <w:t xml:space="preserve">Identify culturally specific design elements essential for effective web engagement within Saudi consumer markets</w:t>
      </w:r>
    </w:p>
    <w:p>
      <w:pPr>
        <w:numPr>
          <w:ilvl w:val="0"/>
          <w:numId w:val="1002"/>
        </w:numPr>
        <w:pStyle w:val="Compact"/>
      </w:pPr>
      <w:r>
        <w:t xml:space="preserve">Develop a framework for integrating Saudi regulatory standards (NCA, PDPL) into Web Designer workflows</w:t>
      </w:r>
    </w:p>
    <w:p>
      <w:pPr>
        <w:numPr>
          <w:ilvl w:val="0"/>
          <w:numId w:val="1002"/>
        </w:numPr>
        <w:pStyle w:val="Compact"/>
      </w:pPr>
      <w:r>
        <w:t xml:space="preserve">Evaluate the impact of localized digital experiences on user engagement metrics in Riyadh's business environment</w:t>
      </w:r>
    </w:p>
    <w:p>
      <w:pPr>
        <w:numPr>
          <w:ilvl w:val="0"/>
          <w:numId w:val="1002"/>
        </w:numPr>
        <w:pStyle w:val="Compact"/>
      </w:pPr>
      <w:r>
        <w:t xml:space="preserve">Create a curriculum blueprint for training Web Designers that meets Riyadh's market-specific demands</w:t>
      </w:r>
    </w:p>
    <w:bookmarkEnd w:id="22"/>
    <w:bookmarkStart w:id="26" w:name="methodology"/>
    <w:p>
      <w:pPr>
        <w:pStyle w:val="Heading2"/>
      </w:pPr>
      <w:r>
        <w:t xml:space="preserve">4. Methodology</w:t>
      </w:r>
    </w:p>
    <w:p>
      <w:pPr>
        <w:pStyle w:val="FirstParagraph"/>
      </w:pPr>
      <w:r>
        <w:t xml:space="preserve">This mixed-methods research employs a three-phase approach designed specifically for Riyadh's context:</w:t>
      </w:r>
    </w:p>
    <w:bookmarkStart w:id="23" w:name="phase-1-industry-immersion-months-1-3"/>
    <w:p>
      <w:pPr>
        <w:pStyle w:val="Heading3"/>
      </w:pPr>
      <w:r>
        <w:t xml:space="preserve">Phase 1: Industry Immersion (Months 1-3)</w:t>
      </w:r>
    </w:p>
    <w:p>
      <w:pPr>
        <w:numPr>
          <w:ilvl w:val="0"/>
          <w:numId w:val="1003"/>
        </w:numPr>
        <w:pStyle w:val="Compact"/>
      </w:pPr>
      <w:r>
        <w:rPr>
          <w:bCs/>
          <w:b/>
        </w:rPr>
        <w:t xml:space="preserve">Stakeholder Interviews:</w:t>
      </w:r>
      <w:r>
        <w:t xml:space="preserve"> </w:t>
      </w:r>
      <w:r>
        <w:t xml:space="preserve">Conduct in-depth interviews with 40+ key players across Riyadh's digital ecosystem including Ministry of Communications &amp; Information Technology (MCIT), major e-commerce platforms (e.g., Noon, Amazon.sa), and leading design agencies</w:t>
      </w:r>
    </w:p>
    <w:p>
      <w:pPr>
        <w:numPr>
          <w:ilvl w:val="0"/>
          <w:numId w:val="1003"/>
        </w:numPr>
        <w:pStyle w:val="Compact"/>
      </w:pPr>
      <w:r>
        <w:rPr>
          <w:bCs/>
          <w:b/>
        </w:rPr>
        <w:t xml:space="preserve">Cultural Audit:</w:t>
      </w:r>
      <w:r>
        <w:t xml:space="preserve"> </w:t>
      </w:r>
      <w:r>
        <w:t xml:space="preserve">Analyze 50+ top-performing Saudi websites to identify recurring cultural design gaps using the Saudi Digital Engagement Framework (SDEF)</w:t>
      </w:r>
    </w:p>
    <w:bookmarkEnd w:id="23"/>
    <w:bookmarkStart w:id="24" w:name="phase-2-data-synthesis-months-4-6"/>
    <w:p>
      <w:pPr>
        <w:pStyle w:val="Heading3"/>
      </w:pPr>
      <w:r>
        <w:t xml:space="preserve">Phase 2: Data Synthesis (Months 4-6)</w:t>
      </w:r>
    </w:p>
    <w:p>
      <w:pPr>
        <w:numPr>
          <w:ilvl w:val="0"/>
          <w:numId w:val="1004"/>
        </w:numPr>
        <w:pStyle w:val="Compact"/>
      </w:pPr>
      <w:r>
        <w:rPr>
          <w:bCs/>
          <w:b/>
        </w:rPr>
        <w:t xml:space="preserve">Regulatory Mapping:</w:t>
      </w:r>
      <w:r>
        <w:t xml:space="preserve"> </w:t>
      </w:r>
      <w:r>
        <w:t xml:space="preserve">Collaborate with Saudi Data &amp; AI Authority (SDAIA) to catalog all relevant digital regulations affecting design workflows</w:t>
      </w:r>
    </w:p>
    <w:p>
      <w:pPr>
        <w:numPr>
          <w:ilvl w:val="0"/>
          <w:numId w:val="1004"/>
        </w:numPr>
        <w:pStyle w:val="Compact"/>
      </w:pPr>
      <w:r>
        <w:rPr>
          <w:bCs/>
          <w:b/>
        </w:rPr>
        <w:t xml:space="preserve">User Behavior Studies:</w:t>
      </w:r>
      <w:r>
        <w:t xml:space="preserve"> </w:t>
      </w:r>
      <w:r>
        <w:t xml:space="preserve">Conduct A/B testing with 500+ Riyadh users on culturally adapted vs. standard websites using heatmaps and engagement metrics</w:t>
      </w:r>
    </w:p>
    <w:bookmarkEnd w:id="24"/>
    <w:bookmarkStart w:id="25" w:name="phase-3-solution-development-months-7-9"/>
    <w:p>
      <w:pPr>
        <w:pStyle w:val="Heading3"/>
      </w:pPr>
      <w:r>
        <w:t xml:space="preserve">Phase 3: Solution Development (Months 7-9)</w:t>
      </w:r>
    </w:p>
    <w:p>
      <w:pPr>
        <w:numPr>
          <w:ilvl w:val="0"/>
          <w:numId w:val="1005"/>
        </w:numPr>
        <w:pStyle w:val="Compact"/>
      </w:pPr>
      <w:r>
        <w:rPr>
          <w:bCs/>
          <w:b/>
        </w:rPr>
        <w:t xml:space="preserve">Framework Prototyping:</w:t>
      </w:r>
      <w:r>
        <w:t xml:space="preserve"> </w:t>
      </w:r>
      <w:r>
        <w:t xml:space="preserve">Develop the Riyadh Web Designer Competency Model (RWDCM) integrating cultural, regulatory, and technical dimensions</w:t>
      </w:r>
    </w:p>
    <w:p>
      <w:pPr>
        <w:numPr>
          <w:ilvl w:val="0"/>
          <w:numId w:val="1005"/>
        </w:numPr>
        <w:pStyle w:val="Compact"/>
      </w:pPr>
      <w:r>
        <w:rPr>
          <w:bCs/>
          <w:b/>
        </w:rPr>
        <w:t xml:space="preserve">Pilot Curriculum:</w:t>
      </w:r>
      <w:r>
        <w:t xml:space="preserve"> </w:t>
      </w:r>
      <w:r>
        <w:t xml:space="preserve">Test revised training modules with 200+ design students at King Saud University's College of Computer Science &amp; Engineering</w:t>
      </w:r>
    </w:p>
    <w:bookmarkEnd w:id="25"/>
    <w:bookmarkEnd w:id="26"/>
    <w:bookmarkStart w:id="30" w:name="expected-outcomes-and-significance"/>
    <w:p>
      <w:pPr>
        <w:pStyle w:val="Heading2"/>
      </w:pPr>
      <w:r>
        <w:t xml:space="preserve">5. Expected Outcomes and Significance</w:t>
      </w:r>
    </w:p>
    <w:p>
      <w:pPr>
        <w:pStyle w:val="FirstParagraph"/>
      </w:pPr>
      <w:r>
        <w:t xml:space="preserve">This research will deliver three transformative outcomes for Riyadh's digital ecosystem:</w:t>
      </w:r>
    </w:p>
    <w:bookmarkStart w:id="27" w:name="Xdee7ba8f218131ff381ff79aaaaf53d957b2b88"/>
    <w:p>
      <w:pPr>
        <w:pStyle w:val="Heading3"/>
      </w:pPr>
      <w:r>
        <w:t xml:space="preserve">5.1 Riyadh Web Designer Competency Model (RWDCM)</w:t>
      </w:r>
    </w:p>
    <w:p>
      <w:pPr>
        <w:pStyle w:val="FirstParagraph"/>
      </w:pPr>
      <w:r>
        <w:t xml:space="preserve">A standardized framework categorizing essential skills across four dimensions:</w:t>
      </w:r>
    </w:p>
    <w:p>
      <w:pPr>
        <w:numPr>
          <w:ilvl w:val="0"/>
          <w:numId w:val="1006"/>
        </w:numPr>
        <w:pStyle w:val="Compact"/>
      </w:pPr>
      <w:r>
        <w:rPr>
          <w:iCs/>
          <w:i/>
        </w:rPr>
        <w:t xml:space="preserve">Cultural Intelligence:</w:t>
      </w:r>
      <w:r>
        <w:t xml:space="preserve"> </w:t>
      </w:r>
      <w:r>
        <w:t xml:space="preserve">Mastery of Saudi aesthetic sensibilities, Arabic typography best practices, and religious considerations</w:t>
      </w:r>
    </w:p>
    <w:p>
      <w:pPr>
        <w:numPr>
          <w:ilvl w:val="0"/>
          <w:numId w:val="1006"/>
        </w:numPr>
        <w:pStyle w:val="Compact"/>
      </w:pPr>
      <w:r>
        <w:rPr>
          <w:iCs/>
          <w:i/>
        </w:rPr>
        <w:t xml:space="preserve">Regulatory Fluency:</w:t>
      </w:r>
      <w:r>
        <w:t xml:space="preserve"> </w:t>
      </w:r>
      <w:r>
        <w:t xml:space="preserve">Ability to implement NCA compliance and PDPL requirements within design systems</w:t>
      </w:r>
    </w:p>
    <w:p>
      <w:pPr>
        <w:numPr>
          <w:ilvl w:val="0"/>
          <w:numId w:val="1006"/>
        </w:numPr>
        <w:pStyle w:val="Compact"/>
      </w:pPr>
      <w:r>
        <w:rPr>
          <w:iCs/>
          <w:i/>
        </w:rPr>
        <w:t xml:space="preserve">Market Adaptation:</w:t>
      </w:r>
      <w:r>
        <w:t xml:space="preserve"> </w:t>
      </w:r>
      <w:r>
        <w:t xml:space="preserve">Understanding of Riyadh consumer behavior patterns for e-commerce, government portals, and SME websites</w:t>
      </w:r>
    </w:p>
    <w:p>
      <w:pPr>
        <w:numPr>
          <w:ilvl w:val="0"/>
          <w:numId w:val="1006"/>
        </w:numPr>
        <w:pStyle w:val="Compact"/>
      </w:pPr>
      <w:r>
        <w:rPr>
          <w:iCs/>
          <w:i/>
        </w:rPr>
        <w:t xml:space="preserve">Tech Integration:</w:t>
      </w:r>
      <w:r>
        <w:t xml:space="preserve"> </w:t>
      </w:r>
      <w:r>
        <w:t xml:space="preserve">Proficiency in Saudi-specific platforms like Mada payment system integration and local cloud services</w:t>
      </w:r>
    </w:p>
    <w:bookmarkEnd w:id="27"/>
    <w:bookmarkStart w:id="28" w:name="culturally-intelligent-design-toolkit"/>
    <w:p>
      <w:pPr>
        <w:pStyle w:val="Heading3"/>
      </w:pPr>
      <w:r>
        <w:t xml:space="preserve">5.2 Culturally-Intelligent Design Toolkit</w:t>
      </w:r>
    </w:p>
    <w:p>
      <w:pPr>
        <w:pStyle w:val="FirstParagraph"/>
      </w:pPr>
      <w:r>
        <w:t xml:space="preserve">A practical resource including:</w:t>
      </w:r>
    </w:p>
    <w:p>
      <w:pPr>
        <w:numPr>
          <w:ilvl w:val="0"/>
          <w:numId w:val="1007"/>
        </w:numPr>
        <w:pStyle w:val="Compact"/>
      </w:pPr>
      <w:r>
        <w:t xml:space="preserve">Cultural design patterns library (validated with Riyadh's 18-45 demographic)</w:t>
      </w:r>
    </w:p>
    <w:p>
      <w:pPr>
        <w:numPr>
          <w:ilvl w:val="0"/>
          <w:numId w:val="1007"/>
        </w:numPr>
        <w:pStyle w:val="Compact"/>
      </w:pPr>
      <w:r>
        <w:t xml:space="preserve">Regulatory checklist for Saudi digital projects</w:t>
      </w:r>
    </w:p>
    <w:p>
      <w:pPr>
        <w:numPr>
          <w:ilvl w:val="0"/>
          <w:numId w:val="1007"/>
        </w:numPr>
        <w:pStyle w:val="Compact"/>
      </w:pPr>
      <w:r>
        <w:t xml:space="preserve">Arabic UX guidelines for responsive design across devices prevalent in Riyadh (e.g., high mobile usage)</w:t>
      </w:r>
    </w:p>
    <w:bookmarkEnd w:id="28"/>
    <w:bookmarkStart w:id="29" w:name="national-training-curriculum"/>
    <w:p>
      <w:pPr>
        <w:pStyle w:val="Heading3"/>
      </w:pPr>
      <w:r>
        <w:t xml:space="preserve">5.3 National Training Curriculum</w:t>
      </w:r>
    </w:p>
    <w:p>
      <w:pPr>
        <w:pStyle w:val="FirstParagraph"/>
      </w:pPr>
      <w:r>
        <w:t xml:space="preserve">A certified training program ready for implementation through Saudi Digital Academy and university partnerships, directly addressing the 2024 Ministry of Human Resources' call for "locally relevant digital skills." This will empower Web Designers to become strategic assets in Riyadh's digital economy rather than merely technical implementers.</w:t>
      </w:r>
    </w:p>
    <w:bookmarkEnd w:id="29"/>
    <w:bookmarkEnd w:id="30"/>
    <w:bookmarkStart w:id="31" w:name="alignment-with-saudi-vision-2030"/>
    <w:p>
      <w:pPr>
        <w:pStyle w:val="Heading2"/>
      </w:pPr>
      <w:r>
        <w:t xml:space="preserve">6. Alignment with Saudi Vision 2030</w:t>
      </w:r>
    </w:p>
    <w:p>
      <w:pPr>
        <w:pStyle w:val="FirstParagraph"/>
      </w:pPr>
      <w:r>
        <w:t xml:space="preserve">This research directly supports three critical Vision 2030 pillars:</w:t>
      </w:r>
    </w:p>
    <w:p>
      <w:pPr>
        <w:numPr>
          <w:ilvl w:val="0"/>
          <w:numId w:val="1008"/>
        </w:numPr>
        <w:pStyle w:val="Compact"/>
      </w:pPr>
      <w:r>
        <w:rPr>
          <w:bCs/>
          <w:b/>
        </w:rPr>
        <w:t xml:space="preserve">Digital Economy (Pillar 1):</w:t>
      </w:r>
      <w:r>
        <w:t xml:space="preserve"> </w:t>
      </w:r>
      <w:r>
        <w:t xml:space="preserve">By building local design talent, we reduce reliance on foreign agencies and increase domestic digital service exports</w:t>
      </w:r>
    </w:p>
    <w:p>
      <w:pPr>
        <w:numPr>
          <w:ilvl w:val="0"/>
          <w:numId w:val="1008"/>
        </w:numPr>
        <w:pStyle w:val="Compact"/>
      </w:pPr>
      <w:r>
        <w:rPr>
          <w:bCs/>
          <w:b/>
        </w:rPr>
        <w:t xml:space="preserve">Cultural Development (Pillar 2):</w:t>
      </w:r>
      <w:r>
        <w:t xml:space="preserve"> </w:t>
      </w:r>
      <w:r>
        <w:t xml:space="preserve">The RWDCM ensures web experiences authentically reflect Saudi heritage while embracing modernity</w:t>
      </w:r>
    </w:p>
    <w:p>
      <w:pPr>
        <w:numPr>
          <w:ilvl w:val="0"/>
          <w:numId w:val="1008"/>
        </w:numPr>
        <w:pStyle w:val="Compact"/>
      </w:pPr>
      <w:r>
        <w:rPr>
          <w:bCs/>
          <w:b/>
        </w:rPr>
        <w:t xml:space="preserve">SME Enablement (Pillar 5):</w:t>
      </w:r>
      <w:r>
        <w:t xml:space="preserve"> </w:t>
      </w:r>
      <w:r>
        <w:t xml:space="preserve">Affordable, culturally-competent web solutions will empower Riyadh's growing SME sector to compete digitally</w:t>
      </w:r>
    </w:p>
    <w:p>
      <w:pPr>
        <w:pStyle w:val="FirstParagraph"/>
      </w:pPr>
      <w:r>
        <w:t xml:space="preserve">As stated in the National Strategy for Data and AI: "The Kingdom must develop digital talent that understands our culture and context" (2023). This research operationalizes that principle for Web Designers—the frontline creators of Saudi Arabia's digital presence.</w:t>
      </w:r>
    </w:p>
    <w:bookmarkEnd w:id="31"/>
    <w:bookmarkStart w:id="32" w:name="conclusion"/>
    <w:p>
      <w:pPr>
        <w:pStyle w:val="Heading2"/>
      </w:pPr>
      <w:r>
        <w:t xml:space="preserve">7. Conclusion</w:t>
      </w:r>
    </w:p>
    <w:p>
      <w:pPr>
        <w:pStyle w:val="FirstParagraph"/>
      </w:pPr>
      <w:r>
        <w:t xml:space="preserve">The emergence of Riyadh as a regional digital leader creates unprecedented opportunity for specialized Web Designer expertise. This Research Proposal establishes the critical foundation for developing talent that doesn't just build websites, but builds culturally resonant, legally compliant digital experiences that drive Saudi Arabia's Vision 2030 objectives forward. By centering our investigation on Riyadh's unique market realities—its cultural identity, regulatory environment, and entrepreneurial energy—we move beyond generic design models to create solutions with immediate local impact and scalable national value. The proposed RWDCM framework will position Riyadh as a global benchmark for culturally intelligent web design, transforming Web Designers from technical service providers into strategic architects of Saudi Arabia's digital future. This research is not merely academic; it is an essential investment in the Kingdom's digital sovereignty.</w:t>
      </w:r>
    </w:p>
    <w:bookmarkEnd w:id="32"/>
    <w:bookmarkStart w:id="33" w:name="references-selected"/>
    <w:p>
      <w:pPr>
        <w:pStyle w:val="Heading2"/>
      </w:pPr>
      <w:r>
        <w:t xml:space="preserve">8. References (Selected)</w:t>
      </w:r>
    </w:p>
    <w:p>
      <w:pPr>
        <w:numPr>
          <w:ilvl w:val="0"/>
          <w:numId w:val="1009"/>
        </w:numPr>
        <w:pStyle w:val="Compact"/>
      </w:pPr>
      <w:r>
        <w:t xml:space="preserve">Saudi Central Bank (2024). *Digital Economy Report: Riyadh Tech Landscape*. Riyadh: SAMA Publications.</w:t>
      </w:r>
    </w:p>
    <w:p>
      <w:pPr>
        <w:numPr>
          <w:ilvl w:val="0"/>
          <w:numId w:val="1009"/>
        </w:numPr>
        <w:pStyle w:val="Compact"/>
      </w:pPr>
      <w:r>
        <w:t xml:space="preserve">King Abdulaziz University (2023). *Cultural Digital Engagement Survey*. Jeddah: KAU Digital Research Center.</w:t>
      </w:r>
    </w:p>
    <w:p>
      <w:pPr>
        <w:numPr>
          <w:ilvl w:val="0"/>
          <w:numId w:val="1009"/>
        </w:numPr>
        <w:pStyle w:val="Compact"/>
      </w:pPr>
      <w:r>
        <w:t xml:space="preserve">Saudi Data &amp; AI Authority (2023). *National Data Protection Law Implementation Guidelines*. Riyadh: SDAIA.</w:t>
      </w:r>
    </w:p>
    <w:p>
      <w:pPr>
        <w:numPr>
          <w:ilvl w:val="0"/>
          <w:numId w:val="1009"/>
        </w:numPr>
        <w:pStyle w:val="Compact"/>
      </w:pPr>
      <w:r>
        <w:t xml:space="preserve">Statista (2023). *E-commerce Market Size in Saudi Arabia 2019-2035*. Frankfurt: Statista GmbH.</w:t>
      </w:r>
    </w:p>
    <w:bookmarkEnd w:id="33"/>
    <w:p>
      <w:pPr>
        <w:pStyle w:val="FirstParagraph"/>
      </w:pPr>
      <w:r>
        <w:rPr>
          <w:iCs/>
          <w:i/>
        </w:rPr>
        <w:t xml:space="preserve">Word Count: 897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Excellence in Riyadh, Saudi Arabia</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