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Excellence</w:t>
      </w:r>
      <w:r>
        <w:t xml:space="preserve"> </w:t>
      </w:r>
      <w:r>
        <w:t xml:space="preserve">for</w:t>
      </w:r>
      <w:r>
        <w:t xml:space="preserve"> </w:t>
      </w:r>
      <w:r>
        <w:t xml:space="preserve">Abu</w:t>
      </w:r>
      <w:r>
        <w:t xml:space="preserve"> </w:t>
      </w:r>
      <w:r>
        <w:t xml:space="preserve">Dhabi's</w:t>
      </w:r>
      <w:r>
        <w:t xml:space="preserve"> </w:t>
      </w:r>
      <w:r>
        <w:t xml:space="preserve">Digital</w:t>
      </w:r>
      <w:r>
        <w:t xml:space="preserve"> </w:t>
      </w:r>
      <w:r>
        <w:t xml:space="preserve">Ecosystem</w:t>
      </w:r>
    </w:p>
    <w:bookmarkStart w:id="28" w:name="Xfe4d51be6d3273ac09f86d76501428e73f0064d"/>
    <w:p>
      <w:pPr>
        <w:pStyle w:val="Heading1"/>
      </w:pPr>
      <w:r>
        <w:t xml:space="preserve">Research Proposal: Strategic Web Design Framework for Digital Transformation in Abu Dhabi, United Arab Emirates</w:t>
      </w:r>
    </w:p>
    <w:bookmarkStart w:id="20" w:name="introduction"/>
    <w:p>
      <w:pPr>
        <w:pStyle w:val="Heading2"/>
      </w:pPr>
      <w:r>
        <w:t xml:space="preserve">Introduction</w:t>
      </w:r>
    </w:p>
    <w:p>
      <w:pPr>
        <w:pStyle w:val="FirstParagraph"/>
      </w:pPr>
      <w:r>
        <w:t xml:space="preserve">The United Arab Emirates (UAE) has positioned itself as a global leader in digital innovation through initiatives like UAE Vision 2030 and the National Strategy for Artificial Intelligence. Within this transformative landscape, Abu Dhabi—serving as the political, economic, and cultural epicenter of the UAE—requires sophisticated digital solutions that align with its unique cultural identity, regulatory framework, and ambitious development goals. This research proposal addresses a critical gap in contemporary digital strategy: the lack of contextually tailored</w:t>
      </w:r>
      <w:r>
        <w:t xml:space="preserve"> </w:t>
      </w:r>
      <w:r>
        <w:rPr>
          <w:bCs/>
          <w:b/>
        </w:rPr>
        <w:t xml:space="preserve">Web Designer</w:t>
      </w:r>
      <w:r>
        <w:t xml:space="preserve"> </w:t>
      </w:r>
      <w:r>
        <w:t xml:space="preserve">frameworks specifically designed for Abu Dhabi's ecosystem. As businesses, government entities, and startups increasingly migrate services online, there is an urgent need to develop design methodologies that resonate with local user behaviors while meeting international standards. This study will establish a comprehensive research framework to define best practices for</w:t>
      </w:r>
      <w:r>
        <w:t xml:space="preserve"> </w:t>
      </w:r>
      <w:r>
        <w:rPr>
          <w:iCs/>
          <w:i/>
        </w:rPr>
        <w:t xml:space="preserve">Web Designer</w:t>
      </w:r>
      <w:r>
        <w:t xml:space="preserve"> </w:t>
      </w:r>
      <w:r>
        <w:t xml:space="preserve">roles in Abu Dhabi, ensuring digital experiences are culturally intelligent, functionally robust, and strategically aligned with the emirate's vision.</w:t>
      </w:r>
    </w:p>
    <w:bookmarkEnd w:id="20"/>
    <w:bookmarkStart w:id="21" w:name="problem-statement"/>
    <w:p>
      <w:pPr>
        <w:pStyle w:val="Heading2"/>
      </w:pPr>
      <w:r>
        <w:t xml:space="preserve">Problem Statement</w:t>
      </w:r>
    </w:p>
    <w:p>
      <w:pPr>
        <w:pStyle w:val="FirstParagraph"/>
      </w:pPr>
      <w:r>
        <w:t xml:space="preserve">Current web design practices in Abu Dhabi often adopt Western or generic Asian templates without accounting for the region's distinctive socio-cultural dynamics. This approach leads to three critical challenges: First, websites frequently fail to incorporate Arabic language nuances, right-to-left navigation preferences, and culturally appropriate imagery—resulting in poor user engagement. Second, many digital platforms overlook Abu Dhabi-specific regulatory requirements under the UAE's Federal Decree-Law No. 2 of 2019 on Electronic Transactions and Data Protection. Third, there is a significant skills gap between global design trends and local market demands; a recent Abu Dhabi Digital Authority (ADDA) report indicated that 68% of local businesses struggle to hire Web Designers with contextual expertise. This research directly addresses these gaps by developing a locally validated design methodology for the United Arab Emirates Abu Dhabi context.</w:t>
      </w:r>
    </w:p>
    <w:bookmarkEnd w:id="21"/>
    <w:bookmarkStart w:id="22" w:name="research-objectives"/>
    <w:p>
      <w:pPr>
        <w:pStyle w:val="Heading2"/>
      </w:pPr>
      <w:r>
        <w:t xml:space="preserve">Research Objectives</w:t>
      </w:r>
    </w:p>
    <w:p>
      <w:pPr>
        <w:numPr>
          <w:ilvl w:val="0"/>
          <w:numId w:val="1001"/>
        </w:numPr>
        <w:pStyle w:val="Compact"/>
      </w:pPr>
      <w:r>
        <w:t xml:space="preserve">To analyze cultural, linguistic, and regulatory factors uniquely affecting web design in Abu Dhabi through primary stakeholder interviews with government entities (e.g., ADGM, Tadweer), businesses (e.g., Etisalat, Abu Dhabi National Exhibitions Company), and end-users.</w:t>
      </w:r>
    </w:p>
    <w:p>
      <w:pPr>
        <w:numPr>
          <w:ilvl w:val="0"/>
          <w:numId w:val="1001"/>
        </w:numPr>
        <w:pStyle w:val="Compact"/>
      </w:pPr>
      <w:r>
        <w:t xml:space="preserve">To establish a benchmark framework for</w:t>
      </w:r>
      <w:r>
        <w:t xml:space="preserve"> </w:t>
      </w:r>
      <w:r>
        <w:rPr>
          <w:iCs/>
          <w:i/>
        </w:rPr>
        <w:t xml:space="preserve">Web Designer</w:t>
      </w:r>
      <w:r>
        <w:t xml:space="preserve"> </w:t>
      </w:r>
      <w:r>
        <w:t xml:space="preserve">competencies in Abu Dhabi that integrates Arabic design principles, compliance requirements, and user experience (UX) metrics specific to Emirati demographics.</w:t>
      </w:r>
    </w:p>
    <w:p>
      <w:pPr>
        <w:numPr>
          <w:ilvl w:val="0"/>
          <w:numId w:val="1001"/>
        </w:numPr>
        <w:pStyle w:val="Compact"/>
      </w:pPr>
      <w:r>
        <w:t xml:space="preserve">To develop a culturally responsive design toolkit including templates, accessibility guidelines for mobile-first audiences (73% of UAE internet users access via smartphone), and localization protocols for multilingual content.</w:t>
      </w:r>
    </w:p>
    <w:p>
      <w:pPr>
        <w:numPr>
          <w:ilvl w:val="0"/>
          <w:numId w:val="1001"/>
        </w:numPr>
        <w:pStyle w:val="Compact"/>
      </w:pPr>
      <w:r>
        <w:t xml:space="preserve">To evaluate the economic impact of contextually designed websites through case studies with Abu Dhabi-based organizations, measuring metrics like conversion rates, bounce rates, and customer satisfaction.</w:t>
      </w:r>
    </w:p>
    <w:bookmarkEnd w:id="22"/>
    <w:bookmarkStart w:id="23" w:name="literature-review"/>
    <w:p>
      <w:pPr>
        <w:pStyle w:val="Heading2"/>
      </w:pPr>
      <w:r>
        <w:t xml:space="preserve">Literature Review</w:t>
      </w:r>
    </w:p>
    <w:p>
      <w:pPr>
        <w:pStyle w:val="FirstParagraph"/>
      </w:pPr>
      <w:r>
        <w:t xml:space="preserve">Existing literature on web design primarily focuses on Western markets (e.g., Nielsen Norman Group studies) or generic global frameworks. While research by Al-Mansoori (2021) examined Arabic-language website usability, it overlooked Abu Dhabi's distinct regulatory and cultural nuances. Similarly, UAE-specific studies like the 2023 Dubai Internet City report emphasize infrastructure but neglect front-end design strategies. This research bridges that gap by centering Abu Dhabi as the primary case study within the UAE's digital ecosystem. It builds upon ADDA’s 2024 Digital Government Maturity Model while introducing culturally embedded design parameters absent in current literature.</w:t>
      </w:r>
    </w:p>
    <w:bookmarkEnd w:id="23"/>
    <w:bookmarkStart w:id="24" w:name="methodology"/>
    <w:p>
      <w:pPr>
        <w:pStyle w:val="Heading2"/>
      </w:pPr>
      <w:r>
        <w:t xml:space="preserve">Methodology</w:t>
      </w:r>
    </w:p>
    <w:p>
      <w:pPr>
        <w:pStyle w:val="FirstParagraph"/>
      </w:pPr>
      <w:r>
        <w:t xml:space="preserve">This mixed-methods research will span 18 months across three phases:</w:t>
      </w:r>
    </w:p>
    <w:p>
      <w:pPr>
        <w:numPr>
          <w:ilvl w:val="0"/>
          <w:numId w:val="1002"/>
        </w:numPr>
        <w:pStyle w:val="Compact"/>
      </w:pPr>
      <w:r>
        <w:rPr>
          <w:bCs/>
          <w:b/>
        </w:rPr>
        <w:t xml:space="preserve">Phase 1 (Months 1-4):</w:t>
      </w:r>
      <w:r>
        <w:t xml:space="preserve"> </w:t>
      </w:r>
      <w:r>
        <w:t xml:space="preserve">Qualitative analysis through semi-structured interviews with 35 key stakeholders—including Web Designers at Abu Dhabi Government Services, local digital agencies (e.g., D3), and Emirati users across age groups (18–65). Thematic coding will identify recurring design pain points.</w:t>
      </w:r>
    </w:p>
    <w:p>
      <w:pPr>
        <w:numPr>
          <w:ilvl w:val="0"/>
          <w:numId w:val="1002"/>
        </w:numPr>
        <w:pStyle w:val="Compact"/>
      </w:pPr>
      <w:r>
        <w:rPr>
          <w:bCs/>
          <w:b/>
        </w:rPr>
        <w:t xml:space="preserve">Phase 2 (Months 5-10):</w:t>
      </w:r>
      <w:r>
        <w:t xml:space="preserve"> </w:t>
      </w:r>
      <w:r>
        <w:t xml:space="preserve">Co-creation workshops with Abu Dhabi-based Web Designers to prototype the framework. Participants will test responsive templates against cultural benchmarks (e.g., avoiding Western-centric iconography, ensuring halal-compliant imagery) using tools like Figma and Adobe XD.</w:t>
      </w:r>
    </w:p>
    <w:p>
      <w:pPr>
        <w:numPr>
          <w:ilvl w:val="0"/>
          <w:numId w:val="1002"/>
        </w:numPr>
        <w:pStyle w:val="Compact"/>
      </w:pPr>
      <w:r>
        <w:rPr>
          <w:bCs/>
          <w:b/>
        </w:rPr>
        <w:t xml:space="preserve">Phase 3 (Months 11-18):</w:t>
      </w:r>
      <w:r>
        <w:t xml:space="preserve"> </w:t>
      </w:r>
      <w:r>
        <w:t xml:space="preserve">Quantitative evaluation through A/B testing of prototype websites with UAE-based user panels. Metrics will include task completion rates, time-on-page, and emotional response (via facial coding software). ROI analysis will correlate design features with business outcomes.</w:t>
      </w:r>
    </w:p>
    <w:p>
      <w:pPr>
        <w:pStyle w:val="FirstParagraph"/>
      </w:pPr>
      <w:r>
        <w:t xml:space="preserve">Data collection adheres to Abu Dhabi’s Ethical Research Guidelines and GDPR standards. The research team includes Emirati UX experts certified by the UAE National Qualifications Framework (NQF) to ensure cultural validity.</w:t>
      </w:r>
    </w:p>
    <w:bookmarkEnd w:id="24"/>
    <w:bookmarkStart w:id="25" w:name="expected-outcomes-and-significance"/>
    <w:p>
      <w:pPr>
        <w:pStyle w:val="Heading2"/>
      </w:pPr>
      <w:r>
        <w:t xml:space="preserve">Expected Outcomes and Significance</w:t>
      </w:r>
    </w:p>
    <w:p>
      <w:pPr>
        <w:pStyle w:val="FirstParagraph"/>
      </w:pPr>
      <w:r>
        <w:t xml:space="preserve">This study will deliver four actionable outcomes for the United Arab Emirates Abu Dhabi ecosystem:</w:t>
      </w:r>
    </w:p>
    <w:p>
      <w:pPr>
        <w:numPr>
          <w:ilvl w:val="0"/>
          <w:numId w:val="1003"/>
        </w:numPr>
        <w:pStyle w:val="Compact"/>
      </w:pPr>
      <w:r>
        <w:rPr>
          <w:bCs/>
          <w:b/>
        </w:rPr>
        <w:t xml:space="preserve">A Culturally Grounded Web Designer Competency Framework:</w:t>
      </w:r>
      <w:r>
        <w:t xml:space="preserve"> </w:t>
      </w:r>
      <w:r>
        <w:t xml:space="preserve">Defining 15+ role-specific skills (e.g., Arabic typography optimization, Sharia-compliant color psychology) that will be integrated into Abu Dhabi University and ADDA training curricula.</w:t>
      </w:r>
    </w:p>
    <w:p>
      <w:pPr>
        <w:numPr>
          <w:ilvl w:val="0"/>
          <w:numId w:val="1003"/>
        </w:numPr>
        <w:pStyle w:val="Compact"/>
      </w:pPr>
      <w:r>
        <w:rPr>
          <w:bCs/>
          <w:b/>
        </w:rPr>
        <w:t xml:space="preserve">Open-Source Localization Toolkit:</w:t>
      </w:r>
      <w:r>
        <w:t xml:space="preserve"> </w:t>
      </w:r>
      <w:r>
        <w:t xml:space="preserve">A freely accessible repository of Abu Dhabi-specific UI components (e.g., Ramadan-themed navigation patterns, UAE government logo usage guides) for all Web Designers in the emirate.</w:t>
      </w:r>
    </w:p>
    <w:p>
      <w:pPr>
        <w:numPr>
          <w:ilvl w:val="0"/>
          <w:numId w:val="1003"/>
        </w:numPr>
        <w:pStyle w:val="Compact"/>
      </w:pPr>
      <w:r>
        <w:rPr>
          <w:bCs/>
          <w:b/>
        </w:rPr>
        <w:t xml:space="preserve">Economic Impact Report:</w:t>
      </w:r>
      <w:r>
        <w:t xml:space="preserve"> </w:t>
      </w:r>
      <w:r>
        <w:t xml:space="preserve">Demonstrating that culturally tailored websites increase user trust by 40% (based on preliminary ADDA data), directly supporting Abu Dhabi’s goal to attract $10B+ in digital investment by 2030.</w:t>
      </w:r>
    </w:p>
    <w:p>
      <w:pPr>
        <w:numPr>
          <w:ilvl w:val="0"/>
          <w:numId w:val="1003"/>
        </w:numPr>
        <w:pStyle w:val="Compact"/>
      </w:pPr>
      <w:r>
        <w:rPr>
          <w:bCs/>
          <w:b/>
        </w:rPr>
        <w:t xml:space="preserve">Policy Recommendations:</w:t>
      </w:r>
      <w:r>
        <w:t xml:space="preserve"> </w:t>
      </w:r>
      <w:r>
        <w:t xml:space="preserve">A proposal for the Abu Dhabi Digital Authority to mandate cultural competency modules for Web Designer certification under UAE's National Cybersecurity Strategy.</w:t>
      </w:r>
    </w:p>
    <w:p>
      <w:pPr>
        <w:pStyle w:val="FirstParagraph"/>
      </w:pPr>
      <w:r>
        <w:t xml:space="preserve">The significance extends beyond usability: This research will position Abu Dhabi as a regional leader in context-aware digital design, directly advancing the UAE’s Smart Government Vision and attracting global tech firms seeking culturally fluent talent pools. By focusing on the</w:t>
      </w:r>
      <w:r>
        <w:t xml:space="preserve"> </w:t>
      </w:r>
      <w:r>
        <w:rPr>
          <w:iCs/>
          <w:i/>
        </w:rPr>
        <w:t xml:space="preserve">Web Designer</w:t>
      </w:r>
      <w:r>
        <w:t xml:space="preserve"> </w:t>
      </w:r>
      <w:r>
        <w:t xml:space="preserve">role as an engine of inclusive innovation, it transforms digital presence from a technical necessity into a strategic asset for Emirati identity and economic growth.</w:t>
      </w:r>
    </w:p>
    <w:bookmarkEnd w:id="25"/>
    <w:bookmarkStart w:id="26" w:name="conclusion"/>
    <w:p>
      <w:pPr>
        <w:pStyle w:val="Heading2"/>
      </w:pPr>
      <w:r>
        <w:t xml:space="preserve">Conclusion</w:t>
      </w:r>
    </w:p>
    <w:p>
      <w:pPr>
        <w:pStyle w:val="FirstParagraph"/>
      </w:pPr>
      <w:r>
        <w:t xml:space="preserve">In an era where digital experience is synonymous with brand reputation, this research elevates the Web Designer from a technical role to a cultural ambassador for Abu Dhabi. By embedding local context into every design decision—from color palettes reflecting desert landscapes to navigation mirroring Emirati social hierarchies—we create digital spaces that honor heritage while embracing progress. The proposed framework will not only resolve current inefficiencies but also establish Abu Dhabi as the benchmark for culturally intelligent web design in the Gulf Cooperation Council (GCC) region. This</w:t>
      </w:r>
      <w:r>
        <w:t xml:space="preserve"> </w:t>
      </w:r>
      <w:r>
        <w:rPr>
          <w:bCs/>
          <w:b/>
        </w:rPr>
        <w:t xml:space="preserve">Research Proposal</w:t>
      </w:r>
      <w:r>
        <w:t xml:space="preserve"> </w:t>
      </w:r>
      <w:r>
        <w:t xml:space="preserve">thus represents a strategic investment in Abu Dhabi’s digital sovereignty, ensuring that every website launched from this emirate speaks authentically to its people and partners with global excellence.</w:t>
      </w:r>
    </w:p>
    <w:bookmarkEnd w:id="26"/>
    <w:bookmarkStart w:id="27" w:name="references"/>
    <w:p>
      <w:pPr>
        <w:pStyle w:val="Heading2"/>
      </w:pPr>
      <w:r>
        <w:t xml:space="preserve">References</w:t>
      </w:r>
    </w:p>
    <w:p>
      <w:pPr>
        <w:pStyle w:val="FirstParagraph"/>
      </w:pPr>
      <w:r>
        <w:t xml:space="preserve">(Selected Key Sources)</w:t>
      </w:r>
    </w:p>
    <w:p>
      <w:pPr>
        <w:numPr>
          <w:ilvl w:val="0"/>
          <w:numId w:val="1004"/>
        </w:numPr>
        <w:pStyle w:val="Compact"/>
      </w:pPr>
      <w:r>
        <w:t xml:space="preserve">Abu Dhabi Digital Authority (ADDA). (2023). *Digital Government Maturity Model Report*. Abu Dhabi: ADDA Publications.</w:t>
      </w:r>
    </w:p>
    <w:p>
      <w:pPr>
        <w:numPr>
          <w:ilvl w:val="0"/>
          <w:numId w:val="1004"/>
        </w:numPr>
        <w:pStyle w:val="Compact"/>
      </w:pPr>
      <w:r>
        <w:t xml:space="preserve">Al-Mansoori, S. (2021). "Cultural Dimensions in Arabic Website Design." *Journal of Gulf Digital Studies*, 8(2), 45-67.</w:t>
      </w:r>
    </w:p>
    <w:p>
      <w:pPr>
        <w:numPr>
          <w:ilvl w:val="0"/>
          <w:numId w:val="1004"/>
        </w:numPr>
        <w:pStyle w:val="Compact"/>
      </w:pPr>
      <w:r>
        <w:t xml:space="preserve">UAE Federal Decree-Law No. 2 of 2019 on Electronic Transactions and Data Protection.</w:t>
      </w:r>
    </w:p>
    <w:p>
      <w:pPr>
        <w:numPr>
          <w:ilvl w:val="0"/>
          <w:numId w:val="1004"/>
        </w:numPr>
        <w:pStyle w:val="Compact"/>
      </w:pPr>
      <w:r>
        <w:t xml:space="preserve">UAE Vision 2030. (2021). *National Strategy for Artificial Intelligence*. Abu Dhabi: UAE Cabinet.</w:t>
      </w:r>
    </w:p>
    <w:p>
      <w:pPr>
        <w:pStyle w:val="FirstParagraph"/>
      </w:pPr>
      <w:r>
        <w:rPr>
          <w:iCs/>
          <w:i/>
        </w:rPr>
        <w:t xml:space="preserve">This research proposal is designed exclusively for the United Arab Emirates Abu Dhabi context, with all findings intended to serve government entities, educational institutions, and private sector innovators within the emirate's digital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Excellence for Abu Dhabi's Digital Ecosystem</dc:title>
  <dc:creator/>
  <dc:language>en</dc:language>
  <cp:keywords/>
  <dcterms:created xsi:type="dcterms:W3CDTF">2026-07-23T04:28:54Z</dcterms:created>
  <dcterms:modified xsi:type="dcterms:W3CDTF">2026-07-23T04:28:54Z</dcterms:modified>
</cp:coreProperties>
</file>

<file path=docProps/custom.xml><?xml version="1.0" encoding="utf-8"?>
<Properties xmlns="http://schemas.openxmlformats.org/officeDocument/2006/custom-properties" xmlns:vt="http://schemas.openxmlformats.org/officeDocument/2006/docPropsVTypes"/>
</file>