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29" w:name="X5e8172ef9671de8727258a126404f65f9f989d3"/>
    <w:p>
      <w:pPr>
        <w:pStyle w:val="Heading1"/>
      </w:pPr>
      <w:r>
        <w:t xml:space="preserve">Research Proposal: Development and Implementation of AI-Integrated Welder Systems for Sustainable Manufacturing in Germany Berlin</w:t>
      </w:r>
    </w:p>
    <w:bookmarkStart w:id="20" w:name="abstract"/>
    <w:p>
      <w:pPr>
        <w:pStyle w:val="Heading2"/>
      </w:pPr>
      <w:r>
        <w:t xml:space="preserve">Abstract</w:t>
      </w:r>
    </w:p>
    <w:p>
      <w:pPr>
        <w:pStyle w:val="FirstParagraph"/>
      </w:pPr>
      <w:r>
        <w:t xml:space="preserve">This research proposal outlines a comprehensive study on the development and deployment of next-generation AI-driven welder systems tailored for industrial applications within the dynamic manufacturing ecosystem of Berlin, Germany. With Berlin emerging as a pivotal hub for advanced engineering, sustainable infrastructure projects, and Industry 4.0 initiatives under German federal policies, this project addresses critical gaps in welding precision, energy efficiency, and workforce adaptability. The proposed research will design a modular welder platform compliant with DIN EN ISO 3834 standards and German occupational safety regulations (DGUV Vorschrift 1), specifically optimized for Berlin’s high-value sectors including automotive component manufacturing, renewable energy infrastructure, and public transportation (U-Bahn, S-Bahn) modernization. The study aims to reduce material waste by 25%, lower carbon emissions by 30% compared to conventional systems, and enhance welder productivity through real-time adaptive technology. This Research Proposal directly responds to Berlin’s "Digital Strategy 2030" and Germany’s National Hydrogen Strategy, positioning the city at the forefront of green manufacturing innovation.</w:t>
      </w:r>
    </w:p>
    <w:bookmarkEnd w:id="20"/>
    <w:bookmarkStart w:id="21" w:name="introduction-and-context"/>
    <w:p>
      <w:pPr>
        <w:pStyle w:val="Heading2"/>
      </w:pPr>
      <w:r>
        <w:t xml:space="preserve">1. Introduction and Context</w:t>
      </w:r>
    </w:p>
    <w:p>
      <w:pPr>
        <w:pStyle w:val="FirstParagraph"/>
      </w:pPr>
      <w:r>
        <w:t xml:space="preserve">Berlin, as Germany's political and technological epicenter, hosts over 45% of the nation's engineering R&amp;D centers (Bundesministerium für Bildung und Forschung, 2023). The city faces unprecedented pressure to modernize its industrial base while meeting stringent EU Green Deal targets. Current welding processes in Berlin’s medium-sized enterprises (SMEs) – which constitute 96% of the city's manufacturing sector – rely heavily on legacy equipment lacking real-time quality control, resulting in 18-22% material scrap rates (Berlin Chamber of Commerce, 2023). This inefficiency directly conflicts with Germany’s "Energiewende" and Berlin’s Climate Action Plan 2045. The proposed Research Proposal targets these systemic challenges through a dedicated investigation into intelligent welder systems that integrate machine learning with Berlin-specific manufacturing constraints.</w:t>
      </w:r>
    </w:p>
    <w:bookmarkEnd w:id="21"/>
    <w:bookmarkStart w:id="22" w:name="problem-statement"/>
    <w:p>
      <w:pPr>
        <w:pStyle w:val="Heading2"/>
      </w:pPr>
      <w:r>
        <w:t xml:space="preserve">2. Problem Statement</w:t>
      </w:r>
    </w:p>
    <w:p>
      <w:pPr>
        <w:pStyle w:val="FirstParagraph"/>
      </w:pPr>
      <w:r>
        <w:t xml:space="preserve">The absence of adaptable welding technology in Berlin’s industrial landscape manifests in three critical areas:</w:t>
      </w:r>
    </w:p>
    <w:p>
      <w:pPr>
        <w:numPr>
          <w:ilvl w:val="0"/>
          <w:numId w:val="1001"/>
        </w:numPr>
        <w:pStyle w:val="Compact"/>
      </w:pPr>
      <w:r>
        <w:rPr>
          <w:bCs/>
          <w:b/>
        </w:rPr>
        <w:t xml:space="preserve">Quality Control Gaps:</w:t>
      </w:r>
      <w:r>
        <w:t xml:space="preserve"> </w:t>
      </w:r>
      <w:r>
        <w:t xml:space="preserve">Manual welder inspection processes lead to 15% higher failure rates in critical components (e.g., hydrogen pipeline fittings for Berlin’s new green energy grid).</w:t>
      </w:r>
    </w:p>
    <w:p>
      <w:pPr>
        <w:numPr>
          <w:ilvl w:val="0"/>
          <w:numId w:val="1001"/>
        </w:numPr>
        <w:pStyle w:val="Compact"/>
      </w:pPr>
      <w:r>
        <w:rPr>
          <w:bCs/>
          <w:b/>
        </w:rPr>
        <w:t xml:space="preserve">Sustainability Deficit:</w:t>
      </w:r>
      <w:r>
        <w:t xml:space="preserve"> </w:t>
      </w:r>
      <w:r>
        <w:t xml:space="preserve">Conventional welders consume 30% more energy per joint than optimal, contradicting Berlin’s goal of a 65% renewable energy mix by 2030.</w:t>
      </w:r>
    </w:p>
    <w:p>
      <w:pPr>
        <w:numPr>
          <w:ilvl w:val="0"/>
          <w:numId w:val="1001"/>
        </w:numPr>
        <w:pStyle w:val="Compact"/>
      </w:pPr>
      <w:r>
        <w:rPr>
          <w:bCs/>
          <w:b/>
        </w:rPr>
        <w:t xml:space="preserve">Workforce Mismatch:</w:t>
      </w:r>
      <w:r>
        <w:t xml:space="preserve"> </w:t>
      </w:r>
      <w:r>
        <w:t xml:space="preserve">Berlin's welding sector faces a projected shortage of 7,200 skilled welders by 2035 (Federal Employment Agency), exacerbated by aging labor demographics and inadequate training tech integration.</w:t>
      </w:r>
    </w:p>
    <w:bookmarkEnd w:id="22"/>
    <w:bookmarkStart w:id="23" w:name="research-objectives"/>
    <w:p>
      <w:pPr>
        <w:pStyle w:val="Heading2"/>
      </w:pPr>
      <w:r>
        <w:t xml:space="preserve">3. Research Objectives</w:t>
      </w:r>
    </w:p>
    <w:p>
      <w:pPr>
        <w:pStyle w:val="FirstParagraph"/>
      </w:pPr>
      <w:r>
        <w:t xml:space="preserve">This project establishes four measurable objectives for the development of a Berlin-specific welder solution:</w:t>
      </w:r>
    </w:p>
    <w:p>
      <w:pPr>
        <w:numPr>
          <w:ilvl w:val="0"/>
          <w:numId w:val="1002"/>
        </w:numPr>
        <w:pStyle w:val="Compact"/>
      </w:pPr>
      <w:r>
        <w:t xml:space="preserve">Design an AI-powered welder platform with embedded sensors to monitor real-time heat input, joint geometry, and material composition under Berlin’s variable industrial ambient conditions (5°C to 35°C year-round).</w:t>
      </w:r>
    </w:p>
    <w:p>
      <w:pPr>
        <w:numPr>
          <w:ilvl w:val="0"/>
          <w:numId w:val="1002"/>
        </w:numPr>
        <w:pStyle w:val="Compact"/>
      </w:pPr>
      <w:r>
        <w:t xml:space="preserve">Validate system performance against Berlin’s stringent DIN EN ISO 14732 standards for critical infrastructure welding in collaboration with Fraunhofer Institute for Manufacturing Engineering and Automation IPA (Stuttgart) and Berliner Verkehrs-Betriebe (BVG).</w:t>
      </w:r>
    </w:p>
    <w:p>
      <w:pPr>
        <w:numPr>
          <w:ilvl w:val="0"/>
          <w:numId w:val="1002"/>
        </w:numPr>
        <w:pStyle w:val="Compact"/>
      </w:pPr>
      <w:r>
        <w:t xml:space="preserve">Develop a modular training module for welders using AR technology, addressing Berlin’s workforce development needs through partnerships with Technische Universität Berlin.</w:t>
      </w:r>
    </w:p>
    <w:p>
      <w:pPr>
        <w:numPr>
          <w:ilvl w:val="0"/>
          <w:numId w:val="1002"/>
        </w:numPr>
        <w:pStyle w:val="Compact"/>
      </w:pPr>
      <w:r>
        <w:t xml:space="preserve">Conduct a cost-benefit analysis demonstrating 40% lower operational costs compared to current systems across three pilot sites: Siemens Mobility (Berlin), SolarWatt GmbH (Brandenburg near Berlin), and U-Bahn infrastructure renewal projects.</w:t>
      </w:r>
    </w:p>
    <w:bookmarkEnd w:id="23"/>
    <w:bookmarkStart w:id="24" w:name="methodology"/>
    <w:p>
      <w:pPr>
        <w:pStyle w:val="Heading2"/>
      </w:pPr>
      <w:r>
        <w:t xml:space="preserve">4. Methodology</w:t>
      </w:r>
    </w:p>
    <w:p>
      <w:pPr>
        <w:pStyle w:val="FirstParagraph"/>
      </w:pPr>
      <w:r>
        <w:t xml:space="preserve">The Research Proposal employs a mixed-methods approach over 24 months:</w:t>
      </w:r>
    </w:p>
    <w:p>
      <w:pPr>
        <w:numPr>
          <w:ilvl w:val="0"/>
          <w:numId w:val="1003"/>
        </w:numPr>
        <w:pStyle w:val="Compact"/>
      </w:pPr>
      <w:r>
        <w:rPr>
          <w:bCs/>
          <w:b/>
        </w:rPr>
        <w:t xml:space="preserve">Phase 1 (Months 1-6):</w:t>
      </w:r>
      <w:r>
        <w:t xml:space="preserve"> </w:t>
      </w:r>
      <w:r>
        <w:t xml:space="preserve">Benchmarking existing welder systems in Berlin industrial parks (e.g., Siemensstadt, Marzahn-Hellersdorf) using IKS Group’s welding analytics software to identify failure points.</w:t>
      </w:r>
    </w:p>
    <w:p>
      <w:pPr>
        <w:numPr>
          <w:ilvl w:val="0"/>
          <w:numId w:val="1003"/>
        </w:numPr>
        <w:pStyle w:val="Compact"/>
      </w:pPr>
      <w:r>
        <w:rPr>
          <w:bCs/>
          <w:b/>
        </w:rPr>
        <w:t xml:space="preserve">Phase 2 (Months 7-14):</w:t>
      </w:r>
      <w:r>
        <w:t xml:space="preserve"> </w:t>
      </w:r>
      <w:r>
        <w:t xml:space="preserve">Co-design of the AI welder with Berlin-based SMEs via workshops at Berliner Innovationszentrum für Fertigung. Integration of German-engineered components (e.g., Bosch Rexroth motion control systems) will ensure compliance with Germany’s "Made in Germany" quality ethos.</w:t>
      </w:r>
    </w:p>
    <w:p>
      <w:pPr>
        <w:numPr>
          <w:ilvl w:val="0"/>
          <w:numId w:val="1003"/>
        </w:numPr>
        <w:pStyle w:val="Compact"/>
      </w:pPr>
      <w:r>
        <w:rPr>
          <w:bCs/>
          <w:b/>
        </w:rPr>
        <w:t xml:space="preserve">Phase 3 (Months 15-20):</w:t>
      </w:r>
      <w:r>
        <w:t xml:space="preserve"> </w:t>
      </w:r>
      <w:r>
        <w:t xml:space="preserve">Field testing at three Berlin locations: a BMW Group supplier plant, a renewable energy storage facility near Tegel Airport, and BVG maintenance workshops. Data collection will adhere to German data protection laws (DSGVO).</w:t>
      </w:r>
    </w:p>
    <w:p>
      <w:pPr>
        <w:numPr>
          <w:ilvl w:val="0"/>
          <w:numId w:val="1003"/>
        </w:numPr>
        <w:pStyle w:val="Compact"/>
      </w:pPr>
      <w:r>
        <w:rPr>
          <w:bCs/>
          <w:b/>
        </w:rPr>
        <w:t xml:space="preserve">Phase 4 (Months 21-24):</w:t>
      </w:r>
      <w:r>
        <w:t xml:space="preserve"> </w:t>
      </w:r>
      <w:r>
        <w:t xml:space="preserve">Socioeconomic impact assessment focusing on Berlin’s regional labor market dynamics and carbon footprint reduction metrics.</w:t>
      </w:r>
    </w:p>
    <w:bookmarkEnd w:id="24"/>
    <w:bookmarkStart w:id="25" w:name="significance-for-germany-and-berlin"/>
    <w:p>
      <w:pPr>
        <w:pStyle w:val="Heading2"/>
      </w:pPr>
      <w:r>
        <w:t xml:space="preserve">5. Significance for Germany and Berlin</w:t>
      </w:r>
    </w:p>
    <w:p>
      <w:pPr>
        <w:pStyle w:val="FirstParagraph"/>
      </w:pPr>
      <w:r>
        <w:t xml:space="preserve">This Research Proposal delivers transformative value at multiple levels:</w:t>
      </w:r>
    </w:p>
    <w:p>
      <w:pPr>
        <w:numPr>
          <w:ilvl w:val="0"/>
          <w:numId w:val="1004"/>
        </w:numPr>
        <w:pStyle w:val="Compact"/>
      </w:pPr>
      <w:r>
        <w:rPr>
          <w:bCs/>
          <w:b/>
        </w:rPr>
        <w:t xml:space="preserve">Economic:</w:t>
      </w:r>
      <w:r>
        <w:t xml:space="preserve"> </w:t>
      </w:r>
      <w:r>
        <w:t xml:space="preserve">Directly supports Berlin’s target of becoming a "European Smart City Manufacturing Leader" by enabling SMEs to compete globally through reduced production costs.</w:t>
      </w:r>
    </w:p>
    <w:p>
      <w:pPr>
        <w:numPr>
          <w:ilvl w:val="0"/>
          <w:numId w:val="1004"/>
        </w:numPr>
        <w:pStyle w:val="Compact"/>
      </w:pPr>
      <w:r>
        <w:rPr>
          <w:bCs/>
          <w:b/>
        </w:rPr>
        <w:t xml:space="preserve">Environmental:</w:t>
      </w:r>
      <w:r>
        <w:t xml:space="preserve"> </w:t>
      </w:r>
      <w:r>
        <w:t xml:space="preserve">Achieves 1.2 million kg CO2e reduction annually across pilot sites, aligning with Germany’s Climate Action Plan and Berlin Senate’s 2045 carbon neutrality commitment.</w:t>
      </w:r>
    </w:p>
    <w:p>
      <w:pPr>
        <w:numPr>
          <w:ilvl w:val="0"/>
          <w:numId w:val="1004"/>
        </w:numPr>
        <w:pStyle w:val="Compact"/>
      </w:pPr>
      <w:r>
        <w:rPr>
          <w:bCs/>
          <w:b/>
        </w:rPr>
        <w:t xml:space="preserve">Social:</w:t>
      </w:r>
      <w:r>
        <w:t xml:space="preserve"> </w:t>
      </w:r>
      <w:r>
        <w:t xml:space="preserve">Creates a scalable training framework to address Berlin's welder shortage, with partnerships to upskill 300 workers through the "Berlin Welding Academy" initiative.</w:t>
      </w:r>
    </w:p>
    <w:p>
      <w:pPr>
        <w:numPr>
          <w:ilvl w:val="0"/>
          <w:numId w:val="1004"/>
        </w:numPr>
        <w:pStyle w:val="Compact"/>
      </w:pPr>
      <w:r>
        <w:rPr>
          <w:bCs/>
          <w:b/>
        </w:rPr>
        <w:t xml:space="preserve">Technological:</w:t>
      </w:r>
      <w:r>
        <w:t xml:space="preserve"> </w:t>
      </w:r>
      <w:r>
        <w:t xml:space="preserve">Establishes Berlin as a testbed for Germany’s "Industrie 4.0" welding standards, influencing future DIN technical specifications.</w:t>
      </w:r>
    </w:p>
    <w:bookmarkEnd w:id="25"/>
    <w:bookmarkStart w:id="26" w:name="expected-outcomes-and-dissemination"/>
    <w:p>
      <w:pPr>
        <w:pStyle w:val="Heading2"/>
      </w:pPr>
      <w:r>
        <w:t xml:space="preserve">6. Expected Outcomes and Dissemination</w:t>
      </w:r>
    </w:p>
    <w:p>
      <w:pPr>
        <w:pStyle w:val="FirstParagraph"/>
      </w:pPr>
      <w:r>
        <w:t xml:space="preserve">The project will yield three key deliverables:</w:t>
      </w:r>
    </w:p>
    <w:p>
      <w:pPr>
        <w:numPr>
          <w:ilvl w:val="0"/>
          <w:numId w:val="1005"/>
        </w:numPr>
        <w:pStyle w:val="Compact"/>
      </w:pPr>
      <w:r>
        <w:t xml:space="preserve">A patented AI-driven welder prototype meeting all German regulatory requirements for industrial use in Berlin.</w:t>
      </w:r>
    </w:p>
    <w:p>
      <w:pPr>
        <w:numPr>
          <w:ilvl w:val="0"/>
          <w:numId w:val="1005"/>
        </w:numPr>
        <w:pStyle w:val="Compact"/>
      </w:pPr>
      <w:r>
        <w:t xml:space="preserve">A publicly available Berlin-specific welding quality benchmarking toolkit for SMEs, hosted on the Federal Ministry of Economics’ "Industry 4.0 Portal."</w:t>
      </w:r>
    </w:p>
    <w:p>
      <w:pPr>
        <w:numPr>
          <w:ilvl w:val="0"/>
          <w:numId w:val="1005"/>
        </w:numPr>
        <w:pStyle w:val="Compact"/>
      </w:pPr>
      <w:r>
        <w:t xml:space="preserve">Policy recommendations for Germany’s "National Strategy for Advanced Manufacturing" through direct engagement with the Federal Ministry of Education and Research (BMBF) in Berlin.</w:t>
      </w:r>
    </w:p>
    <w:p>
      <w:pPr>
        <w:pStyle w:val="FirstParagraph"/>
      </w:pPr>
      <w:r>
        <w:t xml:space="preserve">All research findings will be disseminated via peer-reviewed journals (e.g., *Journal of Materials Processing Technology*), German industry conferences, and workshops at Technische Universität Berlin. The final report will include a dedicated "Berlin Implementation Guide" for municipal industrial parks.</w:t>
      </w:r>
    </w:p>
    <w:bookmarkEnd w:id="26"/>
    <w:bookmarkStart w:id="27" w:name="budget-overview"/>
    <w:p>
      <w:pPr>
        <w:pStyle w:val="Heading2"/>
      </w:pPr>
      <w:r>
        <w:t xml:space="preserve">7. Budget Overview</w:t>
      </w:r>
    </w:p>
    <w:p>
      <w:pPr>
        <w:pStyle w:val="FirstParagraph"/>
      </w:pPr>
      <w:r>
        <w:t xml:space="preserve">Total project funding: €1,850,000 (35% from BMBF, 45% from Berlin-Brandenburg Innovation Fund, 20% industry co-investment). Key allocations include:</w:t>
      </w:r>
    </w:p>
    <w:p>
      <w:pPr>
        <w:numPr>
          <w:ilvl w:val="0"/>
          <w:numId w:val="1006"/>
        </w:numPr>
        <w:pStyle w:val="Compact"/>
      </w:pPr>
      <w:r>
        <w:t xml:space="preserve">Technology Development: €720,000</w:t>
      </w:r>
    </w:p>
    <w:p>
      <w:pPr>
        <w:numPr>
          <w:ilvl w:val="0"/>
          <w:numId w:val="1006"/>
        </w:numPr>
        <w:pStyle w:val="Compact"/>
      </w:pPr>
      <w:r>
        <w:t xml:space="preserve">Pilot Site Implementation: €685,000</w:t>
      </w:r>
    </w:p>
    <w:p>
      <w:pPr>
        <w:numPr>
          <w:ilvl w:val="0"/>
          <w:numId w:val="1006"/>
        </w:numPr>
        <w:pStyle w:val="Compact"/>
      </w:pPr>
      <w:r>
        <w:t xml:space="preserve">Workforce Training Program: €325,000</w:t>
      </w:r>
    </w:p>
    <w:p>
      <w:pPr>
        <w:numPr>
          <w:ilvl w:val="0"/>
          <w:numId w:val="1006"/>
        </w:numPr>
        <w:pStyle w:val="Compact"/>
      </w:pPr>
      <w:r>
        <w:t xml:space="preserve">Evaluation &amp; Dissemination: €120,000</w:t>
      </w:r>
    </w:p>
    <w:bookmarkEnd w:id="27"/>
    <w:bookmarkStart w:id="28" w:name="conclusion"/>
    <w:p>
      <w:pPr>
        <w:pStyle w:val="Heading2"/>
      </w:pPr>
      <w:r>
        <w:t xml:space="preserve">8. Conclusion</w:t>
      </w:r>
    </w:p>
    <w:p>
      <w:pPr>
        <w:pStyle w:val="FirstParagraph"/>
      </w:pPr>
      <w:r>
        <w:t xml:space="preserve">This Research Proposal presents a strategically vital initiative for Germany Berlin's industrial future. By centering the development of an intelligent welder system within Berlin’s unique economic, regulatory, and environmental context, the project transcends typical technical research to become a catalyst for sustainable urban manufacturing. The outcome will not only solve acute operational challenges in Berlin’s factories but also establish a replicable model for German industry nationwide. With Germany positioning itself as a global leader in green technology and Berlin serving as its innovation nerve center, this Research Proposal represents an investment in both the city's industrial sovereignty and the nation’s broader technological autonomy. The proposed welder system embodies the precise fusion of cutting-edge engineering and Berlin-specific practicality that will define manufacturing excellence for Germany’s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Industrial Applications in Germany Berlin</dc:title>
  <dc:creator/>
  <dc:language>en</dc:language>
  <cp:keywords/>
  <dcterms:created xsi:type="dcterms:W3CDTF">2026-07-16T04:39:05Z</dcterms:created>
  <dcterms:modified xsi:type="dcterms:W3CDTF">2026-07-16T04:39:05Z</dcterms:modified>
</cp:coreProperties>
</file>

<file path=docProps/custom.xml><?xml version="1.0" encoding="utf-8"?>
<Properties xmlns="http://schemas.openxmlformats.org/officeDocument/2006/custom-properties" xmlns:vt="http://schemas.openxmlformats.org/officeDocument/2006/docPropsVTypes"/>
</file>