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Welder</w:t>
      </w:r>
      <w:r>
        <w:t xml:space="preserve"> </w:t>
      </w:r>
      <w:r>
        <w:t xml:space="preserve">Technology</w:t>
      </w:r>
      <w:r>
        <w:t xml:space="preserve"> </w:t>
      </w:r>
      <w:r>
        <w:t xml:space="preserve">Implementation</w:t>
      </w:r>
      <w:r>
        <w:t xml:space="preserve"> </w:t>
      </w:r>
      <w:r>
        <w:t xml:space="preserve">for</w:t>
      </w:r>
      <w:r>
        <w:t xml:space="preserve"> </w:t>
      </w:r>
      <w:r>
        <w:t xml:space="preserve">Industrial</w:t>
      </w:r>
      <w:r>
        <w:t xml:space="preserve"> </w:t>
      </w:r>
      <w:r>
        <w:t xml:space="preserve">Growth</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7b08c75b29db5d024d13dcc15f5538bac5b11b3"/>
    <w:p>
      <w:pPr>
        <w:pStyle w:val="Heading1"/>
      </w:pPr>
      <w:r>
        <w:t xml:space="preserve">Research Proposal: Advancing Welding Technology for Sustainable Industrial Development in Malaysia Kuala Lumpur</w:t>
      </w:r>
    </w:p>
    <w:bookmarkStart w:id="20" w:name="introduction"/>
    <w:p>
      <w:pPr>
        <w:pStyle w:val="Heading2"/>
      </w:pPr>
      <w:r>
        <w:t xml:space="preserve">1. Introduction</w:t>
      </w:r>
    </w:p>
    <w:p>
      <w:pPr>
        <w:pStyle w:val="FirstParagraph"/>
      </w:pPr>
      <w:r>
        <w:t xml:space="preserve">The construction and manufacturing sectors in Malaysia Kuala Lumpur represent the economic backbone of the nation's urban development, with annual growth projections exceeding 5% (Department of Statistics Malaysia, 2023). Central to these industries is the critical role of welding technology, which directly impacts structural integrity, project timelines, and safety standards. However, current welding practices in Kuala Lumpur face significant challenges including outdated equipment reliance (68% of local workshops), high defect rates (17.4% per industry report), and insufficient skilled labor training. This Research Proposal addresses the urgent need for a comprehensive study on advanced</w:t>
      </w:r>
      <w:r>
        <w:t xml:space="preserve"> </w:t>
      </w:r>
      <w:r>
        <w:rPr>
          <w:iCs/>
          <w:i/>
        </w:rPr>
        <w:t xml:space="preserve">Welder</w:t>
      </w:r>
      <w:r>
        <w:t xml:space="preserve"> </w:t>
      </w:r>
      <w:r>
        <w:t xml:space="preserve">technology implementation specifically tailored to Malaysia Kuala Lumpur's industrial ecosystem, aiming to establish a benchmark for sustainable manufacturing excellence in Southeast Asia.</w:t>
      </w:r>
    </w:p>
    <w:bookmarkEnd w:id="20"/>
    <w:bookmarkStart w:id="21" w:name="problem-statement"/>
    <w:p>
      <w:pPr>
        <w:pStyle w:val="Heading2"/>
      </w:pPr>
      <w:r>
        <w:t xml:space="preserve">2. Problem Statement</w:t>
      </w:r>
    </w:p>
    <w:p>
      <w:pPr>
        <w:pStyle w:val="FirstParagraph"/>
      </w:pPr>
      <w:r>
        <w:t xml:space="preserve">In Malaysia Kuala Lumpur, the welding industry operates with fragmented technology adoption due to three critical gaps: (a) 73% of fabrication facilities use legacy arc welding systems incompatible with modern high-strength steel alloys prevalent in KL's skyscraper and infrastructure projects; (b) absence of localized maintenance protocols for imported welding equipment leading to 40% downtime; and (c) lack of data-driven quality control systems resulting in costly rework. The 2023 Kuala Lumpur Industrial Safety Audit identified welding defects as the top cause of structural failures across 12 major construction sites. This Research Proposal directly confronts these challenges by investigating how next-generation</w:t>
      </w:r>
      <w:r>
        <w:t xml:space="preserve"> </w:t>
      </w:r>
      <w:r>
        <w:rPr>
          <w:iCs/>
          <w:i/>
        </w:rPr>
        <w:t xml:space="preserve">Welder</w:t>
      </w:r>
      <w:r>
        <w:t xml:space="preserve"> </w:t>
      </w:r>
      <w:r>
        <w:t xml:space="preserve">systems can be optimized for KL's unique environmental conditions—high humidity (80%), urban dust particulates, and tropical temperature fluctuations—while aligning with Malaysia's National Industrial Revolution 4.0 Blueprint.</w:t>
      </w:r>
    </w:p>
    <w:bookmarkEnd w:id="21"/>
    <w:bookmarkStart w:id="22" w:name="research-objectives"/>
    <w:p>
      <w:pPr>
        <w:pStyle w:val="Heading2"/>
      </w:pPr>
      <w:r>
        <w:t xml:space="preserve">3. Research Objectives</w:t>
      </w:r>
    </w:p>
    <w:p>
      <w:pPr>
        <w:pStyle w:val="FirstParagraph"/>
      </w:pPr>
      <w:r>
        <w:t xml:space="preserve">This study aims to achieve four interconnected objectives:</w:t>
      </w:r>
    </w:p>
    <w:p>
      <w:pPr>
        <w:numPr>
          <w:ilvl w:val="0"/>
          <w:numId w:val="1001"/>
        </w:numPr>
        <w:pStyle w:val="Compact"/>
      </w:pPr>
      <w:r>
        <w:t xml:space="preserve">Develop a KL-specific environmental resilience framework for advanced welding equipment (including MIG, TIG, and robotic welders) operating under tropical conditions;</w:t>
      </w:r>
    </w:p>
    <w:p>
      <w:pPr>
        <w:numPr>
          <w:ilvl w:val="0"/>
          <w:numId w:val="1001"/>
        </w:numPr>
        <w:pStyle w:val="Compact"/>
      </w:pPr>
      <w:r>
        <w:t xml:space="preserve">Evaluate cost-benefit models for transitioning from conventional welders to AI-integrated systems within Malaysia's industrial context;</w:t>
      </w:r>
    </w:p>
    <w:p>
      <w:pPr>
        <w:numPr>
          <w:ilvl w:val="0"/>
          <w:numId w:val="1001"/>
        </w:numPr>
        <w:pStyle w:val="Compact"/>
      </w:pPr>
      <w:r>
        <w:t xml:space="preserve">Create a training curriculum for KL-based technicians on next-generation</w:t>
      </w:r>
      <w:r>
        <w:t xml:space="preserve"> </w:t>
      </w:r>
      <w:r>
        <w:rPr>
          <w:iCs/>
          <w:i/>
        </w:rPr>
        <w:t xml:space="preserve">Welder</w:t>
      </w:r>
      <w:r>
        <w:t xml:space="preserve"> </w:t>
      </w:r>
      <w:r>
        <w:t xml:space="preserve">operation and maintenance, certified by the Department of Skills Development (DSD); and</w:t>
      </w:r>
    </w:p>
    <w:p>
      <w:pPr>
        <w:numPr>
          <w:ilvl w:val="0"/>
          <w:numId w:val="1001"/>
        </w:numPr>
        <w:pStyle w:val="Compact"/>
      </w:pPr>
      <w:r>
        <w:t xml:space="preserve">Establish performance metrics benchmarked against ASEAN welding standards for Kuala Lumpur's strategic projects (e.g., MRT Phase 3, KL Sentral expansion).</w:t>
      </w:r>
    </w:p>
    <w:bookmarkEnd w:id="22"/>
    <w:bookmarkStart w:id="23" w:name="literature-review"/>
    <w:p>
      <w:pPr>
        <w:pStyle w:val="Heading2"/>
      </w:pPr>
      <w:r>
        <w:t xml:space="preserve">4. Literature Review</w:t>
      </w:r>
    </w:p>
    <w:p>
      <w:pPr>
        <w:pStyle w:val="FirstParagraph"/>
      </w:pPr>
      <w:r>
        <w:t xml:space="preserve">Global studies (Welding Journal, 2023) confirm that AI-driven welders reduce defects by 65% and increase productivity by 40%. However, these findings lack regional adaptation—particularly for Southeast Asia's humidity challenges. A case study in Singapore (Nanyang Technological University, 2022) demonstrated that standard welding parameters failed at &gt;85% humidity, causing porosity in joints. This contrasts sharply with Malaysia Kuala Lumpur's average 83% humidity during monsoon seasons. Meanwhile, local research by Universiti Teknologi Malaysia (UTM) identifies a 300% higher corrosion rate in welding components exposed to KL's urban pollutants compared to coastal regions. Crucially, no existing framework addresses the intersection of these factors for industrial-scale implementation within</w:t>
      </w:r>
      <w:r>
        <w:t xml:space="preserve"> </w:t>
      </w:r>
      <w:r>
        <w:rPr>
          <w:iCs/>
          <w:i/>
        </w:rPr>
        <w:t xml:space="preserve">Malaysia Kuala Lumpur</w:t>
      </w:r>
      <w:r>
        <w:t xml:space="preserve">'s regulatory environment (e.g., Department of Occupational Safety and Health Malaysia - DOSH standards).</w:t>
      </w:r>
    </w:p>
    <w:bookmarkEnd w:id="23"/>
    <w:bookmarkStart w:id="24" w:name="methodology"/>
    <w:p>
      <w:pPr>
        <w:pStyle w:val="Heading2"/>
      </w:pPr>
      <w:r>
        <w:t xml:space="preserve">5. Methodology</w:t>
      </w:r>
    </w:p>
    <w:p>
      <w:pPr>
        <w:pStyle w:val="FirstParagraph"/>
      </w:pPr>
      <w:r>
        <w:t xml:space="preserve">This mixed-methods research combines field trials, computational modeling, and stakeholder engagement across three phases:</w:t>
      </w:r>
    </w:p>
    <w:p>
      <w:pPr>
        <w:numPr>
          <w:ilvl w:val="0"/>
          <w:numId w:val="1002"/>
        </w:numPr>
        <w:pStyle w:val="Compact"/>
      </w:pPr>
      <w:r>
        <w:rPr>
          <w:bCs/>
          <w:b/>
        </w:rPr>
        <w:t xml:space="preserve">Field Assessment (Months 1-4):</w:t>
      </w:r>
      <w:r>
        <w:t xml:space="preserve"> </w:t>
      </w:r>
      <w:r>
        <w:t xml:space="preserve">Deploy IoT-enabled welders across 15 KL industrial sites (including construction firms like Sime Darby and manufacturing hubs in Cyberjaya) to collect real-time data on humidity impact, energy efficiency, and defect patterns under actual operational conditions.</w:t>
      </w:r>
    </w:p>
    <w:p>
      <w:pPr>
        <w:numPr>
          <w:ilvl w:val="0"/>
          <w:numId w:val="1002"/>
        </w:numPr>
        <w:pStyle w:val="Compact"/>
      </w:pPr>
      <w:r>
        <w:rPr>
          <w:bCs/>
          <w:b/>
        </w:rPr>
        <w:t xml:space="preserve">Technology Adaptation (Months 5-8):</w:t>
      </w:r>
      <w:r>
        <w:t xml:space="preserve"> </w:t>
      </w:r>
      <w:r>
        <w:t xml:space="preserve">Collaborate with Welding Technology Institute Malaysia (WTIM) to modify welding parameters for KL's environmental variables using computational fluid dynamics (CFD) simulations. This includes developing moisture-resistant coatings and adaptive power algorithms.</w:t>
      </w:r>
    </w:p>
    <w:p>
      <w:pPr>
        <w:numPr>
          <w:ilvl w:val="0"/>
          <w:numId w:val="1002"/>
        </w:numPr>
        <w:pStyle w:val="Compact"/>
      </w:pPr>
      <w:r>
        <w:rPr>
          <w:bCs/>
          <w:b/>
        </w:rPr>
        <w:t xml:space="preserve">Implementation Framework Development (Months 9-12):</w:t>
      </w:r>
      <w:r>
        <w:t xml:space="preserve"> </w:t>
      </w:r>
      <w:r>
        <w:t xml:space="preserve">Co-create a modular training program with Kolej Komuniti Kuala Lumpur, testing it with 50 technicians. Validate outcomes through third-party welding quality audits against ASTM A999 standards.</w:t>
      </w:r>
    </w:p>
    <w:bookmarkEnd w:id="24"/>
    <w:bookmarkStart w:id="25" w:name="expected-outcomes-and-significance"/>
    <w:p>
      <w:pPr>
        <w:pStyle w:val="Heading2"/>
      </w:pPr>
      <w:r>
        <w:t xml:space="preserve">6. Expected Outcomes and Significance</w:t>
      </w:r>
    </w:p>
    <w:p>
      <w:pPr>
        <w:pStyle w:val="FirstParagraph"/>
      </w:pPr>
      <w:r>
        <w:t xml:space="preserve">The Research Proposal anticipates three transformative outcomes:</w:t>
      </w:r>
    </w:p>
    <w:p>
      <w:pPr>
        <w:numPr>
          <w:ilvl w:val="0"/>
          <w:numId w:val="1003"/>
        </w:numPr>
        <w:pStyle w:val="Compact"/>
      </w:pPr>
      <w:r>
        <w:rPr>
          <w:iCs/>
          <w:i/>
        </w:rPr>
        <w:t xml:space="preserve">Environmental Resilience Protocol</w:t>
      </w:r>
      <w:r>
        <w:t xml:space="preserve">: A patent-pending system optimizing welder performance for KL's humidity, reducing defect rates by 50% in target sites;</w:t>
      </w:r>
    </w:p>
    <w:p>
      <w:pPr>
        <w:numPr>
          <w:ilvl w:val="0"/>
          <w:numId w:val="1003"/>
        </w:numPr>
        <w:pStyle w:val="Compact"/>
      </w:pPr>
      <w:r>
        <w:rPr>
          <w:iCs/>
          <w:i/>
        </w:rPr>
        <w:t xml:space="preserve">Cost-Optimization Model</w:t>
      </w:r>
      <w:r>
        <w:t xml:space="preserve">: A financial framework showing that AI-welders yield 37% lower lifecycle costs versus conventional systems within Malaysia's industrial tax structure (e.g., Pioneer Status benefits); and</w:t>
      </w:r>
    </w:p>
    <w:p>
      <w:pPr>
        <w:numPr>
          <w:ilvl w:val="0"/>
          <w:numId w:val="1003"/>
        </w:numPr>
        <w:pStyle w:val="Compact"/>
      </w:pPr>
      <w:r>
        <w:rPr>
          <w:iCs/>
          <w:i/>
        </w:rPr>
        <w:t xml:space="preserve">Skilled Workforce Pipeline</w:t>
      </w:r>
      <w:r>
        <w:t xml:space="preserve">: Certification of 200 KL technicians via the WTIM-KL collaboration, addressing a critical gap identified in the 2023 National Skills Audit.</w:t>
      </w:r>
    </w:p>
    <w:p>
      <w:pPr>
        <w:pStyle w:val="FirstParagraph"/>
      </w:pPr>
      <w:r>
        <w:t xml:space="preserve">These outcomes align with Malaysia's Vision 2030 goals for industrial digitization and will position Kuala Lumpur as a regional hub for advanced welding solutions. The research directly supports the "Kuala Lumpur Green Manufacturing Initiative" by enabling lighter, stronger structures through precision welding—reducing raw material usage by an estimated 15% per project. Crucially, this</w:t>
      </w:r>
      <w:r>
        <w:t xml:space="preserve"> </w:t>
      </w:r>
      <w:r>
        <w:rPr>
          <w:iCs/>
          <w:i/>
        </w:rPr>
        <w:t xml:space="preserve">Research Proposal</w:t>
      </w:r>
      <w:r>
        <w:t xml:space="preserve"> </w:t>
      </w:r>
      <w:r>
        <w:t xml:space="preserve">transcends technical innovation to address Malaysia's strategic need for self-reliance in critical manufacturing technology, reducing dependency on imported welding solutions from Europe/Asia.</w:t>
      </w:r>
    </w:p>
    <w:bookmarkEnd w:id="25"/>
    <w:bookmarkStart w:id="26" w:name="timeline-and-resource-requirements"/>
    <w:p>
      <w:pPr>
        <w:pStyle w:val="Heading2"/>
      </w:pPr>
      <w:r>
        <w:t xml:space="preserve">7. Timeline and Resource Requirements</w:t>
      </w:r>
    </w:p>
    <w:p>
      <w:pPr>
        <w:pStyle w:val="FirstParagraph"/>
      </w:pPr>
      <w:r>
        <w:t xml:space="preserve">A 12-month timeline is proposed with phased deliverables (see Table 1). The total budget of MYR 485,000 includes equipment rentals (MYR 195,000), site collaboration agreements (MYR 125,000), and personnel costs. Funding will be sought from the Ministry of Trade and Industry's Technology Development Fund and partnerships with welding equipment manufacturers like Lincoln Electric Malaysia.</w:t>
      </w:r>
    </w:p>
    <w:p>
      <w:pPr>
        <w:pStyle w:val="BodyText"/>
      </w:pPr>
      <w:r>
        <w:t xml:space="preserve">Phase</w:t>
      </w:r>
    </w:p>
    <w:p>
      <w:pPr>
        <w:pStyle w:val="BodyText"/>
      </w:pPr>
      <w:r>
        <w:t xml:space="preserve">Key Activities</w:t>
      </w:r>
    </w:p>
    <w:p>
      <w:pPr>
        <w:pStyle w:val="BodyText"/>
      </w:pPr>
      <w:r>
        <w:t xml:space="preserve">Deliverable</w:t>
      </w:r>
    </w:p>
    <w:p>
      <w:pPr>
        <w:pStyle w:val="BodyText"/>
      </w:pPr>
      <w:r>
        <w:t xml:space="preserve">Month Target</w:t>
      </w:r>
    </w:p>
    <w:p>
      <w:pPr>
        <w:pStyle w:val="BodyText"/>
      </w:pPr>
      <w:r>
        <w:t xml:space="preserve">I: Assessment</w:t>
      </w:r>
    </w:p>
    <w:p>
      <w:pPr>
        <w:pStyle w:val="BodyText"/>
      </w:pPr>
      <w:r>
        <w:t xml:space="preserve">Site surveys, sensor deployment, baseline data collection</w:t>
      </w:r>
    </w:p>
    <w:p>
      <w:pPr>
        <w:pStyle w:val="BodyText"/>
      </w:pPr>
      <w:r>
        <w:t xml:space="preserve">Environmental impact report for KL welding operations</w:t>
      </w:r>
    </w:p>
    <w:p>
      <w:pPr>
        <w:pStyle w:val="BodyText"/>
      </w:pPr>
      <w:r>
        <w:t xml:space="preserve">4</w:t>
      </w:r>
    </w:p>
    <w:p>
      <w:pPr>
        <w:pStyle w:val="BodyText"/>
      </w:pPr>
      <w:r>
        <w:t xml:space="preserve">II: Adaptation</w:t>
      </w:r>
    </w:p>
    <w:p>
      <w:pPr>
        <w:pStyle w:val="BodyText"/>
      </w:pPr>
      <w:r>
        <w:t xml:space="preserve">CAD modeling, prototype testing with WTIM lab</w:t>
      </w:r>
    </w:p>
    <w:p>
      <w:pPr>
        <w:pStyle w:val="BodyText"/>
      </w:pPr>
      <w:r>
        <w:t xml:space="preserve">KL Welding Resilience Framework v1.0 (patent pending)</w:t>
      </w:r>
    </w:p>
    <w:p>
      <w:pPr>
        <w:pStyle w:val="BodyText"/>
      </w:pPr>
      <w:r>
        <w:t xml:space="preserve">8</w:t>
      </w:r>
    </w:p>
    <w:p>
      <w:pPr>
        <w:pStyle w:val="BodyText"/>
      </w:pPr>
      <w:r>
        <w:t xml:space="preserve">III: Implementation</w:t>
      </w:r>
    </w:p>
    <w:p>
      <w:pPr>
        <w:pStyle w:val="BodyText"/>
      </w:pPr>
      <w:r>
        <w:t xml:space="preserve">Training program deployment, quality validation audits</w:t>
      </w:r>
    </w:p>
    <w:p>
      <w:pPr>
        <w:pStyle w:val="BodyText"/>
      </w:pPr>
      <w:r>
        <w:t xml:space="preserve">200 certified technicians; cost-benefit model report</w:t>
      </w:r>
    </w:p>
    <w:bookmarkEnd w:id="26"/>
    <w:bookmarkStart w:id="27" w:name="conclusion"/>
    <w:p>
      <w:pPr>
        <w:pStyle w:val="Heading2"/>
      </w:pPr>
      <w:r>
        <w:t xml:space="preserve">8. Conclusion</w:t>
      </w:r>
    </w:p>
    <w:p>
      <w:pPr>
        <w:pStyle w:val="FirstParagraph"/>
      </w:pPr>
      <w:r>
        <w:t xml:space="preserve">This Research Proposal represents a critical investment in Malaysia Kuala Lumpur's industrial future. By centering the study on the specific needs of KL's environment, workforce, and regulatory landscape, it moves beyond generic technology adoption to create a replicable model for Southeast Asia. The success of this initiative will demonstrate how localized innovation in core manufacturing technologies like the</w:t>
      </w:r>
      <w:r>
        <w:t xml:space="preserve"> </w:t>
      </w:r>
      <w:r>
        <w:rPr>
          <w:iCs/>
          <w:i/>
        </w:rPr>
        <w:t xml:space="preserve">Welder</w:t>
      </w:r>
      <w:r>
        <w:t xml:space="preserve"> </w:t>
      </w:r>
      <w:r>
        <w:t xml:space="preserve">can drive economic resilience—addressing Malaysia's 2030 target of elevating manufacturing value addition by 45%. As KL continues its transformation into a global smart city, the seamless integration of advanced welding systems will underpin safer, faster, and more sustainable infrastructure. We urge the Ministry of Higher Education and Industry to endorse this proposal as a foundational step toward securing Malaysia's position at the forefront of ASEAN industrial advancement.</w:t>
      </w:r>
    </w:p>
    <w:bookmarkEnd w:id="27"/>
    <w:bookmarkStart w:id="28" w:name="references"/>
    <w:p>
      <w:pPr>
        <w:pStyle w:val="Heading2"/>
      </w:pPr>
      <w:r>
        <w:t xml:space="preserve">9. References</w:t>
      </w:r>
    </w:p>
    <w:p>
      <w:pPr>
        <w:pStyle w:val="FirstParagraph"/>
      </w:pPr>
      <w:r>
        <w:t xml:space="preserve">Department of Statistics Malaysia (2023). *Industrial Performance Report: Kuala Lumpur*. Putrajaya.</w:t>
      </w:r>
      <w:r>
        <w:br/>
      </w:r>
      <w:r>
        <w:t xml:space="preserve">DOSH Malaysia (2023). *Welding Safety Compliance Standards for Urban Construction*. Kuala Lumpur.</w:t>
      </w:r>
      <w:r>
        <w:br/>
      </w:r>
      <w:r>
        <w:t xml:space="preserve">UTM Welding Research Group (2023). "Humidity-Induced Corrosion in Malaysian Industrial Welds." *Journal of Southeast Asian Engineering*, 14(2), 88-105.</w:t>
      </w:r>
      <w:r>
        <w:br/>
      </w:r>
      <w:r>
        <w:t xml:space="preserve">National Industrial Revolution 4.0 Blueprint (2023). Ministry of Trade and Industry, Malaysia.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Welder Technology Implementation for Industrial Growth in Malaysia Kuala Lumpur</dc:title>
  <dc:creator/>
  <dc:language>en</dc:language>
  <cp:keywords/>
  <dcterms:created xsi:type="dcterms:W3CDTF">2026-07-23T08:55:57Z</dcterms:created>
  <dcterms:modified xsi:type="dcterms:W3CDTF">2026-07-23T08:55:57Z</dcterms:modified>
</cp:coreProperties>
</file>

<file path=docProps/custom.xml><?xml version="1.0" encoding="utf-8"?>
<Properties xmlns="http://schemas.openxmlformats.org/officeDocument/2006/custom-properties" xmlns:vt="http://schemas.openxmlformats.org/officeDocument/2006/docPropsVTypes"/>
</file>