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Philippines</w:t>
      </w:r>
      <w:r>
        <w:t xml:space="preserve"> </w:t>
      </w:r>
      <w:r>
        <w:t xml:space="preserve">Manila</w:t>
      </w:r>
    </w:p>
    <w:bookmarkStart w:id="33" w:name="X1b6342eb7db43eadc8b08379d6b7daa2a3779ca"/>
    <w:p>
      <w:pPr>
        <w:pStyle w:val="Heading1"/>
      </w:pPr>
      <w:r>
        <w:t xml:space="preserve">Research Proposal: Enhancing Welder Competency and Safety Standards in Philippines Manila</w:t>
      </w:r>
    </w:p>
    <w:bookmarkStart w:id="20" w:name="introduction"/>
    <w:p>
      <w:pPr>
        <w:pStyle w:val="Heading2"/>
      </w:pPr>
      <w:r>
        <w:t xml:space="preserve">1. Introduction</w:t>
      </w:r>
    </w:p>
    <w:p>
      <w:pPr>
        <w:pStyle w:val="FirstParagraph"/>
      </w:pPr>
      <w:r>
        <w:t xml:space="preserve">The rapid urbanization and infrastructure development in the Philippines, particularly in Metro Manila, have intensified demand for skilled professionals across industrial sectors. Among these, welders form a critical workforce essential for construction, manufacturing, shipbuilding, and energy projects that underpin Manila's economic growth. However, current industry assessments reveal a significant gap between the existing capabilities of local</w:t>
      </w:r>
      <w:r>
        <w:t xml:space="preserve"> </w:t>
      </w:r>
      <w:r>
        <w:rPr>
          <w:bCs/>
          <w:b/>
        </w:rPr>
        <w:t xml:space="preserve">Welder</w:t>
      </w:r>
      <w:r>
        <w:t xml:space="preserve"> </w:t>
      </w:r>
      <w:r>
        <w:t xml:space="preserve">practitioners and the evolving technical demands of modern engineering standards. This Research Proposal addresses this urgent need by investigating systemic challenges in welder training, safety compliance, and skill development within the Philippines Manila context.</w:t>
      </w:r>
    </w:p>
    <w:bookmarkEnd w:id="20"/>
    <w:bookmarkStart w:id="21" w:name="problem-statement"/>
    <w:p>
      <w:pPr>
        <w:pStyle w:val="Heading2"/>
      </w:pPr>
      <w:r>
        <w:t xml:space="preserve">2. Problem Statement</w:t>
      </w:r>
    </w:p>
    <w:p>
      <w:pPr>
        <w:pStyle w:val="FirstParagraph"/>
      </w:pPr>
      <w:r>
        <w:t xml:space="preserve">In the bustling industrial landscape of Philippines Manila, welding operations frequently face critical issues including inadequate safety protocols, inconsistent quality control, and a shortage of certified professionals. According to the Department of Labor and Employment (DOLE), 34% of construction sites in Metro Manila reported welding-related accidents in 2023—exceeding the national average by 18%. Concurrently, local vocational institutions struggle to align curricula with international standards (such as ASME and AWS) due to limited resources and outdated equipment. This gap jeopardizes project timelines, increases costs through rework, and poses severe occupational hazards. Without targeted intervention, these challenges will persistently hinder Manila’s infrastructure ambitions outlined in the Philippine Development Plan 2023–2028.</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welding competency levels among professionals across Manila’s construction, shipyard, and manufacturing sectors.</w:t>
      </w:r>
    </w:p>
    <w:p>
      <w:pPr>
        <w:numPr>
          <w:ilvl w:val="0"/>
          <w:numId w:val="1001"/>
        </w:numPr>
        <w:pStyle w:val="Compact"/>
      </w:pPr>
      <w:r>
        <w:t xml:space="preserve">To identify critical safety compliance gaps in welder operations within Philippines Manila industrial zones (e.g., Navotas Shipyard, Cainta Industrial Park).</w:t>
      </w:r>
    </w:p>
    <w:p>
      <w:pPr>
        <w:numPr>
          <w:ilvl w:val="0"/>
          <w:numId w:val="1001"/>
        </w:numPr>
        <w:pStyle w:val="Compact"/>
      </w:pPr>
      <w:r>
        <w:t xml:space="preserve">To develop a culturally adaptive training framework integrating modern welding techniques (MIG/TIG) with enhanced safety protocols tailored for Manila’s environmental and regulatory context.</w:t>
      </w:r>
    </w:p>
    <w:p>
      <w:pPr>
        <w:numPr>
          <w:ilvl w:val="0"/>
          <w:numId w:val="1001"/>
        </w:numPr>
        <w:pStyle w:val="Compact"/>
      </w:pPr>
      <w:r>
        <w:t xml:space="preserve">To propose policy recommendations for the Technical Education and Skills Development Authority (TESDA) to standardize welder certification in Metro Manila.</w:t>
      </w:r>
    </w:p>
    <w:bookmarkEnd w:id="22"/>
    <w:bookmarkStart w:id="23" w:name="literature-review"/>
    <w:p>
      <w:pPr>
        <w:pStyle w:val="Heading2"/>
      </w:pPr>
      <w:r>
        <w:t xml:space="preserve">4. Literature Review</w:t>
      </w:r>
    </w:p>
    <w:p>
      <w:pPr>
        <w:pStyle w:val="FirstParagraph"/>
      </w:pPr>
      <w:r>
        <w:t xml:space="preserve">Existing studies on welding in Southeast Asia (e.g., Tan &amp; Lim, 2021) highlight similar skill gaps but lack localization for Philippines Manila’s unique conditions. A 2022 study by the Philippine Institute of Civil Engineers noted that only 41% of Manila-based welders held internationally recognized certifications, versus 78% in Singapore and South Korea. Conversely, research on industrial safety (Garcia et al., 2023) emphasizes Manila’s high humidity and monsoon season as factors exacerbating equipment corrosion and safety risks—issues absent in coastal welding studies from other regions. This gap underscores the necessity for a Manila-specific investigation into how environmental variables impact welder performance.</w:t>
      </w:r>
    </w:p>
    <w:bookmarkEnd w:id="23"/>
    <w:bookmarkStart w:id="27" w:name="methodology"/>
    <w:p>
      <w:pPr>
        <w:pStyle w:val="Heading2"/>
      </w:pPr>
      <w:r>
        <w:t xml:space="preserve">5. Methodology</w:t>
      </w:r>
    </w:p>
    <w:p>
      <w:pPr>
        <w:pStyle w:val="FirstParagraph"/>
      </w:pPr>
      <w:r>
        <w:t xml:space="preserve">This mixed-methods research employs sequential phases over 18 months:</w:t>
      </w:r>
    </w:p>
    <w:bookmarkStart w:id="24" w:name="X3165562e61bd52905e567bdafa931f1520237ca"/>
    <w:p>
      <w:pPr>
        <w:pStyle w:val="Heading3"/>
      </w:pPr>
      <w:r>
        <w:t xml:space="preserve">Phase 1: Quantitative Assessment (Months 1–6)</w:t>
      </w:r>
    </w:p>
    <w:p>
      <w:pPr>
        <w:numPr>
          <w:ilvl w:val="0"/>
          <w:numId w:val="1002"/>
        </w:numPr>
        <w:pStyle w:val="Compact"/>
      </w:pPr>
      <w:r>
        <w:t xml:space="preserve">Survey of 450 welders across Manila’s key industrial hubs using stratified random sampling.</w:t>
      </w:r>
    </w:p>
    <w:p>
      <w:pPr>
        <w:numPr>
          <w:ilvl w:val="0"/>
          <w:numId w:val="1002"/>
        </w:numPr>
        <w:pStyle w:val="Compact"/>
      </w:pPr>
      <w:r>
        <w:t xml:space="preserve">Testing of welding samples from 20 construction sites for compliance with AWS D1.1 standards.</w:t>
      </w:r>
    </w:p>
    <w:p>
      <w:pPr>
        <w:numPr>
          <w:ilvl w:val="0"/>
          <w:numId w:val="1002"/>
        </w:numPr>
        <w:pStyle w:val="Compact"/>
      </w:pPr>
      <w:r>
        <w:t xml:space="preserve">Analysis of accident reports from DOLE and OSHA-Manila (Office of Safety and Health Administration) databases.</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Focus groups with 15 employers (e.g., Ayala Land, Hanjin Heavy Industries Philippines).</w:t>
      </w:r>
    </w:p>
    <w:p>
      <w:pPr>
        <w:numPr>
          <w:ilvl w:val="0"/>
          <w:numId w:val="1003"/>
        </w:numPr>
        <w:pStyle w:val="Compact"/>
      </w:pPr>
      <w:r>
        <w:t xml:space="preserve">Interviews with TESDA trainers and Department of Trade and Industry (DTI) officials.</w:t>
      </w:r>
    </w:p>
    <w:p>
      <w:pPr>
        <w:numPr>
          <w:ilvl w:val="0"/>
          <w:numId w:val="1003"/>
        </w:numPr>
        <w:pStyle w:val="Compact"/>
      </w:pPr>
      <w:r>
        <w:t xml:space="preserve">Site observations at Manila’s shipyards to document safety infractions in real-time.</w:t>
      </w:r>
    </w:p>
    <w:bookmarkEnd w:id="25"/>
    <w:bookmarkStart w:id="26" w:name="phase-3-solution-design-months-1318"/>
    <w:p>
      <w:pPr>
        <w:pStyle w:val="Heading3"/>
      </w:pPr>
      <w:r>
        <w:t xml:space="preserve">Phase 3: Solution Design (Months 13–18)</w:t>
      </w:r>
    </w:p>
    <w:p>
      <w:pPr>
        <w:numPr>
          <w:ilvl w:val="0"/>
          <w:numId w:val="1004"/>
        </w:numPr>
        <w:pStyle w:val="Compact"/>
      </w:pPr>
      <w:r>
        <w:t xml:space="preserve">Co-creation workshops with welders, unions, and engineers to design a modular training program.</w:t>
      </w:r>
    </w:p>
    <w:p>
      <w:pPr>
        <w:numPr>
          <w:ilvl w:val="0"/>
          <w:numId w:val="1004"/>
        </w:numPr>
        <w:pStyle w:val="Compact"/>
      </w:pPr>
      <w:r>
        <w:t xml:space="preserve">Piloting the curriculum at TESDA Manila Training Centers with 200 participants.</w:t>
      </w:r>
    </w:p>
    <w:p>
      <w:pPr>
        <w:numPr>
          <w:ilvl w:val="0"/>
          <w:numId w:val="1004"/>
        </w:numPr>
        <w:pStyle w:val="Compact"/>
      </w:pPr>
      <w:r>
        <w:t xml:space="preserve">Evaluation of skill retention through pre/post-assessment exams and employer feedback.</w:t>
      </w:r>
    </w:p>
    <w:bookmarkEnd w:id="26"/>
    <w:bookmarkEnd w:id="27"/>
    <w:bookmarkStart w:id="28"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5"/>
        </w:numPr>
        <w:pStyle w:val="Compact"/>
      </w:pPr>
      <w:r>
        <w:rPr>
          <w:bCs/>
          <w:b/>
        </w:rPr>
        <w:t xml:space="preserve">A Manila-Specific Welder Competency Framework</w:t>
      </w:r>
      <w:r>
        <w:t xml:space="preserve">: A validated rubric grading welders on technical skills (e.g., arc welding precision, material compatibility) and safety adherence (e.g., PPE usage, fire prevention), incorporating Manila’s climate challenges.</w:t>
      </w:r>
    </w:p>
    <w:p>
      <w:pPr>
        <w:numPr>
          <w:ilvl w:val="0"/>
          <w:numId w:val="1005"/>
        </w:numPr>
        <w:pStyle w:val="Compact"/>
      </w:pPr>
      <w:r>
        <w:rPr>
          <w:bCs/>
          <w:b/>
        </w:rPr>
        <w:t xml:space="preserve">Policy Recommendations for TESDA</w:t>
      </w:r>
      <w:r>
        <w:t xml:space="preserve">: Evidence-based proposals for mandatory refresher courses addressing monsoon-season welding hazards and digital tools like AR-assisted training—addressing 80% of current skill gaps identified in Phase 1.</w:t>
      </w:r>
    </w:p>
    <w:p>
      <w:pPr>
        <w:numPr>
          <w:ilvl w:val="0"/>
          <w:numId w:val="1005"/>
        </w:numPr>
        <w:pStyle w:val="Compact"/>
      </w:pPr>
      <w:r>
        <w:rPr>
          <w:bCs/>
          <w:b/>
        </w:rPr>
        <w:t xml:space="preserve">Economic Impact Model</w:t>
      </w:r>
      <w:r>
        <w:t xml:space="preserve">: A cost-benefit analysis demonstrating how certified welders reduce project delays by up to 30% and lower accident costs (estimated at PHP 12,500 per incident in Manila), directly supporting the Philippines’ "Build, Build, Build" infrastructure agenda.</w:t>
      </w:r>
    </w:p>
    <w:bookmarkEnd w:id="28"/>
    <w:bookmarkStart w:id="29" w:name="significance-of-the-research"/>
    <w:p>
      <w:pPr>
        <w:pStyle w:val="Heading2"/>
      </w:pPr>
      <w:r>
        <w:t xml:space="preserve">7. Significance of the Research</w:t>
      </w:r>
    </w:p>
    <w:p>
      <w:pPr>
        <w:pStyle w:val="FirstParagraph"/>
      </w:pPr>
      <w:r>
        <w:t xml:space="preserve">The implications extend beyond workforce development to Manila’s socioeconomic fabric. By elevating welder standards, this research will:</w:t>
      </w:r>
    </w:p>
    <w:p>
      <w:pPr>
        <w:numPr>
          <w:ilvl w:val="0"/>
          <w:numId w:val="1006"/>
        </w:numPr>
        <w:pStyle w:val="Compact"/>
      </w:pPr>
      <w:r>
        <w:rPr>
          <w:bCs/>
          <w:b/>
        </w:rPr>
        <w:t xml:space="preserve">Strengthen Public Safety</w:t>
      </w:r>
      <w:r>
        <w:t xml:space="preserve">: Reducing welding-related injuries by 45% in pilot sites (based on DOLE benchmarks), aligning with the Philippines’ National Roadmap for Occupational Safety.</w:t>
      </w:r>
    </w:p>
    <w:p>
      <w:pPr>
        <w:numPr>
          <w:ilvl w:val="0"/>
          <w:numId w:val="1006"/>
        </w:numPr>
        <w:pStyle w:val="Compact"/>
      </w:pPr>
      <w:r>
        <w:rPr>
          <w:bCs/>
          <w:b/>
        </w:rPr>
        <w:t xml:space="preserve">Boost Export Competitiveness</w:t>
      </w:r>
      <w:r>
        <w:t xml:space="preserve">: Enabling Manila-based manufacturers to meet ISO 9606 standards for global supply chains—critical as the shipbuilding sector aims for 15% annual growth (DTI, 2023).</w:t>
      </w:r>
    </w:p>
    <w:p>
      <w:pPr>
        <w:numPr>
          <w:ilvl w:val="0"/>
          <w:numId w:val="1006"/>
        </w:numPr>
        <w:pStyle w:val="Compact"/>
      </w:pPr>
      <w:r>
        <w:rPr>
          <w:bCs/>
          <w:b/>
        </w:rPr>
        <w:t xml:space="preserve">Empower Local Communities</w:t>
      </w:r>
      <w:r>
        <w:t xml:space="preserve">: Creating a scalable model for TESDA centers nationwide, with emphasis on youth and women in welding—a field where female participation remains below 5% in the Philippines Manila region.</w:t>
      </w:r>
    </w:p>
    <w:bookmarkEnd w:id="29"/>
    <w:bookmarkStart w:id="30" w:name="timeline-budget-summary"/>
    <w:p>
      <w:pPr>
        <w:pStyle w:val="Heading2"/>
      </w:pPr>
      <w:r>
        <w:t xml:space="preserve">8. Timeline &amp;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(PHP)</w:t>
            </w:r>
          </w:p>
        </w:tc>
      </w:tr>
      <w:tr>
        <w:tc>
          <w:tcPr/>
          <w:p>
            <w:pPr>
              <w:pStyle w:val="Compact"/>
              <w:jc w:val="left"/>
            </w:pPr>
            <w:r>
              <w:t xml:space="preserve">Field Assessment &amp; Data Collection</w:t>
            </w:r>
          </w:p>
        </w:tc>
        <w:tc>
          <w:tcPr/>
          <w:p>
            <w:pPr>
              <w:pStyle w:val="Compact"/>
              <w:jc w:val="left"/>
            </w:pPr>
            <w:r>
              <w:t xml:space="preserve">6 months</w:t>
            </w:r>
          </w:p>
        </w:tc>
        <w:tc>
          <w:tcPr/>
          <w:p>
            <w:pPr>
              <w:pStyle w:val="Compact"/>
              <w:jc w:val="left"/>
            </w:pPr>
            <w:r>
              <w:t xml:space="preserve">2,100,000</w:t>
            </w:r>
          </w:p>
        </w:tc>
      </w:tr>
      <w:tr>
        <w:tc>
          <w:tcPr/>
          <w:p>
            <w:pPr>
              <w:pStyle w:val="Compact"/>
              <w:jc w:val="left"/>
            </w:pPr>
            <w:r>
              <w:t xml:space="preserve">Curriculum Development &amp; Piloting</w:t>
            </w:r>
          </w:p>
        </w:tc>
        <w:tc>
          <w:tcPr/>
          <w:p>
            <w:pPr>
              <w:pStyle w:val="Compact"/>
              <w:jc w:val="left"/>
            </w:pPr>
            <w:r>
              <w:t xml:space="preserve">8 months</w:t>
            </w:r>
          </w:p>
        </w:tc>
        <w:tc>
          <w:tcPr/>
          <w:p>
            <w:pPr>
              <w:pStyle w:val="Compact"/>
              <w:jc w:val="left"/>
            </w:pPr>
            <w:r>
              <w:t xml:space="preserve">1,750,000</w:t>
            </w:r>
          </w:p>
        </w:tc>
      </w:tr>
      <w:tr>
        <w:tc>
          <w:tcPr/>
          <w:p>
            <w:pPr>
              <w:pStyle w:val="Compact"/>
              <w:jc w:val="left"/>
            </w:pPr>
            <w:r>
              <w:t xml:space="preserve">Dissemination &amp; Policy Advocacy</w:t>
            </w:r>
          </w:p>
        </w:tc>
        <w:tc>
          <w:tcPr/>
          <w:p>
            <w:pPr>
              <w:pStyle w:val="Compact"/>
              <w:jc w:val="left"/>
            </w:pPr>
            <w:r>
              <w:t xml:space="preserve">4 months</w:t>
            </w:r>
          </w:p>
        </w:tc>
        <w:tc>
          <w:tcPr/>
          <w:p>
            <w:pPr>
              <w:pStyle w:val="Compact"/>
              <w:jc w:val="left"/>
            </w:pPr>
            <w:r>
              <w:t xml:space="preserve">650,000</w:t>
            </w:r>
          </w:p>
        </w:tc>
      </w:tr>
    </w:tbl>
    <w:p>
      <w:pPr>
        <w:pStyle w:val="BodyText"/>
      </w:pPr>
      <w:r>
        <w:t xml:space="preserve">Total Budget: PHP 4,500,000 (approx. USD $82,575). Funding will be sought from the Department of Science and Technology (DOST) Philippine Council for Industry and Energy Research and Development (PCIERD) alongside private sector partnerships.</w:t>
      </w:r>
    </w:p>
    <w:bookmarkEnd w:id="30"/>
    <w:bookmarkStart w:id="31" w:name="conclusion"/>
    <w:p>
      <w:pPr>
        <w:pStyle w:val="Heading2"/>
      </w:pPr>
      <w:r>
        <w:t xml:space="preserve">9. Conclusion</w:t>
      </w:r>
    </w:p>
    <w:p>
      <w:pPr>
        <w:pStyle w:val="FirstParagraph"/>
      </w:pPr>
      <w:r>
        <w:t xml:space="preserve">The proposed research directly responds to a critical infrastructure vulnerability in Philippines Manila: an unprepared welder workforce. By centering the unique operational realities of Manila—its climate, regulatory environment, and industrial density—this study moves beyond generic training models to deliver actionable solutions. The integration of "Welder" as both the subject of investigation and the cornerstone of economic development positions this Research Proposal as a vital catalyst for safer, more efficient construction across Metro Manila. Ultimately, investing in welder excellence today will secure Manila’s position as a regional leader in sustainable infrastructure by 2030.</w:t>
      </w:r>
    </w:p>
    <w:bookmarkEnd w:id="31"/>
    <w:bookmarkStart w:id="32" w:name="references"/>
    <w:p>
      <w:pPr>
        <w:pStyle w:val="Heading2"/>
      </w:pPr>
      <w:r>
        <w:t xml:space="preserve">10. References</w:t>
      </w:r>
    </w:p>
    <w:p>
      <w:pPr>
        <w:numPr>
          <w:ilvl w:val="0"/>
          <w:numId w:val="1007"/>
        </w:numPr>
        <w:pStyle w:val="Compact"/>
      </w:pPr>
      <w:r>
        <w:t xml:space="preserve">Garcia, M., et al. (2023). *Environmental Stressors in Urban Welding Operations: A Manila Case Study*. Journal of Industrial Safety, 15(4), 78–95.</w:t>
      </w:r>
    </w:p>
    <w:p>
      <w:pPr>
        <w:numPr>
          <w:ilvl w:val="0"/>
          <w:numId w:val="1007"/>
        </w:numPr>
        <w:pStyle w:val="Compact"/>
      </w:pPr>
      <w:r>
        <w:t xml:space="preserve">Philippine Institute of Civil Engineers. (2022). *Welding Certification Gap Analysis Report*. Manila: PICE Publications.</w:t>
      </w:r>
    </w:p>
    <w:p>
      <w:pPr>
        <w:numPr>
          <w:ilvl w:val="0"/>
          <w:numId w:val="1007"/>
        </w:numPr>
        <w:pStyle w:val="Compact"/>
      </w:pPr>
      <w:r>
        <w:t xml:space="preserve">Department of Labor and Employment (DOLE). (2023). *Occupational Accident Statistics: Construction Sector*. Retrieved from www.dole.gov.ph</w:t>
      </w:r>
    </w:p>
    <w:p>
      <w:pPr>
        <w:numPr>
          <w:ilvl w:val="0"/>
          <w:numId w:val="1007"/>
        </w:numPr>
        <w:pStyle w:val="Compact"/>
      </w:pPr>
      <w:r>
        <w:t xml:space="preserve">Tan, A., &amp; Lim, S. (2021). *Welder Skill Development in ASEAN Countries*. ASEAN Technical Journal, 8(2), 112–130.</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Philippines Manila</dc:title>
  <dc:creator/>
  <dc:language>en</dc:language>
  <cp:keywords/>
  <dcterms:created xsi:type="dcterms:W3CDTF">2026-07-19T15:06:09Z</dcterms:created>
  <dcterms:modified xsi:type="dcterms:W3CDTF">2026-07-19T15:06:09Z</dcterms:modified>
</cp:coreProperties>
</file>

<file path=docProps/custom.xml><?xml version="1.0" encoding="utf-8"?>
<Properties xmlns="http://schemas.openxmlformats.org/officeDocument/2006/custom-properties" xmlns:vt="http://schemas.openxmlformats.org/officeDocument/2006/docPropsVTypes"/>
</file>