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john-doe-banker-in-china-beijing"/>
    <w:p>
      <w:pPr>
        <w:pStyle w:val="Heading1"/>
      </w:pPr>
      <w:r>
        <w:t xml:space="preserve">John Doe | Banker in China Beijing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financial sector, specializing in corporate banking, wealth management, and risk assessment. A deep understanding of China’s dynamic banking landscape, particularly in Beijing’s financial hub. Proven ability to build long-term relationships with clients while navigating complex regulatory frameworks. Committed to delivering innovative financial solutions tailored to the needs of high-net-worth individuals and multinational corporations operating in China. Demonstrated expertise in leveraging local market knowledge to drive growth and ensure compliance with the People's Bank of China (PBOC) regulations.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c9d00a8253a2d818cc804cd3598eddd3c0baa4f"/>
    <w:p>
      <w:pPr>
        <w:pStyle w:val="Heading3"/>
      </w:pPr>
      <w:r>
        <w:t xml:space="preserve">Senior Corporate Banker | Industrial and Commercial Bank of China (ICBC), Beijing Branch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corporate banking solutions for over 50 multinational enterprises in Beijing, including financial planning, trade finance, and credit risk management.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local government agencies and financial institutions to facilitate large-scale infrastructure projects in the Beijing-Tianjin-Hebei region.</w:t>
      </w:r>
    </w:p>
    <w:p>
      <w:pPr>
        <w:numPr>
          <w:ilvl w:val="0"/>
          <w:numId w:val="1001"/>
        </w:numPr>
        <w:pStyle w:val="Compact"/>
      </w:pPr>
      <w:r>
        <w:t xml:space="preserve">Managed a team of 15 bankers focused on client acquisition, retention, and cross-selling of financial products such as treasury services and international remittances.</w:t>
      </w:r>
    </w:p>
    <w:p>
      <w:pPr>
        <w:numPr>
          <w:ilvl w:val="0"/>
          <w:numId w:val="1001"/>
        </w:numPr>
        <w:pStyle w:val="Compact"/>
      </w:pPr>
      <w:r>
        <w:t xml:space="preserve">Conducted regular market analysis to identify emerging trends in China’s financial sector, ensuring the branch remained competitive in Beijing’s evolving banking environment.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regulatory compliance, including adherence to PBOC guidelines and anti-money laundering (AML) protocols for high-volume transactions.</w:t>
      </w:r>
    </w:p>
    <w:bookmarkEnd w:id="21"/>
    <w:bookmarkStart w:id="22" w:name="X47807bce4f5ffdf9c620ad4456016ef574f7771"/>
    <w:p>
      <w:pPr>
        <w:pStyle w:val="Heading3"/>
      </w:pPr>
      <w:r>
        <w:t xml:space="preserve">Head of Wealth Management | Bank of China, Beijing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a portfolio of over RMB 5 billion in assets under management for high-net-worth clients across Beijing, with a focus on private banking and legacy planning.</w:t>
      </w:r>
    </w:p>
    <w:p>
      <w:pPr>
        <w:numPr>
          <w:ilvl w:val="0"/>
          <w:numId w:val="1002"/>
        </w:numPr>
        <w:pStyle w:val="Compact"/>
      </w:pPr>
      <w:r>
        <w:t xml:space="preserve">Designed customized investment strategies aligned with China’s economic growth trajectories, including participation in the Belt and Road Initiative (BRI)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introduce cross-border financial products, such as offshore wealth management solutions for Chinese clients seeking global diversification.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tools to enhance client engagement, including mobile apps and online platforms tailored for Beijing’s tech-savvy clientele.</w:t>
      </w:r>
    </w:p>
    <w:p>
      <w:pPr>
        <w:numPr>
          <w:ilvl w:val="0"/>
          <w:numId w:val="1002"/>
        </w:numPr>
        <w:pStyle w:val="Compact"/>
      </w:pPr>
      <w:r>
        <w:t xml:space="preserve">Delivered presentations at industry conferences in Beijing, highlighting the role of banks in supporting China’s financial inclusion goals.</w:t>
      </w:r>
    </w:p>
    <w:bookmarkEnd w:id="22"/>
    <w:bookmarkStart w:id="23" w:name="X051bb5c6d12b93e6a5402013b4a9c32fe8af03a"/>
    <w:p>
      <w:pPr>
        <w:pStyle w:val="Heading3"/>
      </w:pPr>
      <w:r>
        <w:t xml:space="preserve">Assistant Banker | China Construction Bank (CCB), Beijing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2010 – May 2014</w:t>
      </w:r>
    </w:p>
    <w:p>
      <w:pPr>
        <w:numPr>
          <w:ilvl w:val="0"/>
          <w:numId w:val="1003"/>
        </w:numPr>
        <w:pStyle w:val="Compact"/>
      </w:pPr>
      <w:r>
        <w:t xml:space="preserve">Provided customer service and financial advisory to individual and small business clients, focusing on savings, loans, and mortgage solutions.</w:t>
      </w:r>
    </w:p>
    <w:p>
      <w:pPr>
        <w:numPr>
          <w:ilvl w:val="0"/>
          <w:numId w:val="1003"/>
        </w:numPr>
        <w:pStyle w:val="Compact"/>
      </w:pPr>
      <w:r>
        <w:t xml:space="preserve">Promoted CCB’s digital transformation initiatives in Beijing, including the adoption of blockchain-based payment systems for SMEs.</w:t>
      </w:r>
    </w:p>
    <w:p>
      <w:pPr>
        <w:numPr>
          <w:ilvl w:val="0"/>
          <w:numId w:val="1003"/>
        </w:numPr>
        <w:pStyle w:val="Compact"/>
      </w:pPr>
      <w:r>
        <w:t xml:space="preserve">Supported the branch in achieving its annual revenue targets by 15% through targeted marketing campaigns targeting Beijing’s growing middle class.</w:t>
      </w:r>
    </w:p>
    <w:p>
      <w:pPr>
        <w:numPr>
          <w:ilvl w:val="0"/>
          <w:numId w:val="1003"/>
        </w:numPr>
        <w:pStyle w:val="Compact"/>
      </w:pPr>
      <w:r>
        <w:t xml:space="preserve">Collaborated with compliance teams to ensure adherence to China’s financial regulations, including those related to the Shanghai-Hong Kong Stock Connect program.</w:t>
      </w:r>
    </w:p>
    <w:p>
      <w:pPr>
        <w:numPr>
          <w:ilvl w:val="0"/>
          <w:numId w:val="1003"/>
        </w:numPr>
        <w:pStyle w:val="Compact"/>
      </w:pPr>
      <w:r>
        <w:t xml:space="preserve">Received recognition as “Top Performer” in 2013 for exceptional client satisfaction scores and proactive problem-solving in complex transactions.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5b02875bb99465be3612953d043d46a53513d6"/>
    <w:p>
      <w:pPr>
        <w:pStyle w:val="Heading3"/>
      </w:pPr>
      <w:r>
        <w:t xml:space="preserve">MBA in Finance | Tsinghua University, Beijing, China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pStyle w:val="BodyText"/>
      </w:pPr>
      <w:r>
        <w:t xml:space="preserve">Specialized in corporate finance and banking strategy, with a thesis on "The Role of State-Owned Banks in China’s Economic Development." Active participant in the Tsinghua Financial Innovation Forum, which connects students with industry leaders in Beijing’s financial sector.</w:t>
      </w:r>
    </w:p>
    <w:bookmarkEnd w:id="25"/>
    <w:bookmarkStart w:id="26" w:name="Xb2f9261998ecff30832c166ebee947e4014c02b"/>
    <w:p>
      <w:pPr>
        <w:pStyle w:val="Heading3"/>
      </w:pPr>
      <w:r>
        <w:t xml:space="preserve">Bachelor of Economics | Peking University, Beijing, China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2007</w:t>
      </w:r>
    </w:p>
    <w:p>
      <w:pPr>
        <w:pStyle w:val="BodyText"/>
      </w:pPr>
      <w:r>
        <w:t xml:space="preserve">Focused on macroeconomic policy and financial markets. Interned at the Beijing Financial Street Association, gaining firsthand exposure to the operations of major banks in China’s capital.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Excel, Bloomberg Terminal, and SAP banking modules. Familiarity with China’s financial data platforms such as Wind and CSMAR.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(Putonghua) and English. Basic understanding of Spanish for international client interactions.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PBOC regulations, including the Foreign Exchange Administration Rules and the Basel III framework as implemented in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Experienced in working with clients from diverse backgrounds, including Western multinational corporations and domestic Chinese enterprises.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CFA Level III Candidate (Chartered Financial Analyst), 2019–Present</w:t>
      </w:r>
    </w:p>
    <w:p>
      <w:pPr>
        <w:numPr>
          <w:ilvl w:val="0"/>
          <w:numId w:val="1005"/>
        </w:numPr>
        <w:pStyle w:val="Compact"/>
      </w:pPr>
      <w:r>
        <w:t xml:space="preserve">Registered Financial Planner (RFP) Certification, 2018</w:t>
      </w:r>
    </w:p>
    <w:p>
      <w:pPr>
        <w:numPr>
          <w:ilvl w:val="0"/>
          <w:numId w:val="1005"/>
        </w:numPr>
        <w:pStyle w:val="Compact"/>
      </w:pPr>
      <w:r>
        <w:t xml:space="preserve">China Banking Regulatory Commission (CBRC) License for Corporate Banking, 2015</w:t>
      </w:r>
    </w:p>
    <w:p>
      <w:pPr>
        <w:numPr>
          <w:ilvl w:val="0"/>
          <w:numId w:val="1005"/>
        </w:numPr>
        <w:pStyle w:val="Compact"/>
      </w:pPr>
      <w:r>
        <w:t xml:space="preserve">Certified Risk Management Professional (CRMP), 2016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Beijing Bankers Association (BBA)</w:t>
      </w:r>
    </w:p>
    <w:p>
      <w:pPr>
        <w:numPr>
          <w:ilvl w:val="0"/>
          <w:numId w:val="1006"/>
        </w:numPr>
        <w:pStyle w:val="Compact"/>
      </w:pPr>
      <w:r>
        <w:t xml:space="preserve">Member, China Financial Association (CFA)</w:t>
      </w:r>
    </w:p>
    <w:p>
      <w:pPr>
        <w:numPr>
          <w:ilvl w:val="0"/>
          <w:numId w:val="1006"/>
        </w:numPr>
        <w:pStyle w:val="Compact"/>
      </w:pPr>
      <w:r>
        <w:t xml:space="preserve">Past Chairperson, Young Leaders Forum at the Chinese Banking and Insurance Regulatory Commission (CBIRC)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Beijing Digital Finance Pilot Program (2019–2021):</w:t>
      </w:r>
      <w:r>
        <w:t xml:space="preserve"> </w:t>
      </w:r>
      <w:r>
        <w:t xml:space="preserve">Led a team of 10 bankers to implement blockchain-based loan approval systems for SMEs in Beijing, reducing processing times by 40%.</w:t>
      </w:r>
    </w:p>
    <w:p>
      <w:pPr>
        <w:pStyle w:val="BodyText"/>
      </w:pPr>
      <w:r>
        <w:rPr>
          <w:bCs/>
          <w:b/>
        </w:rPr>
        <w:t xml:space="preserve">China-Belt and Road Initiative (BRI) Financial Support:</w:t>
      </w:r>
      <w:r>
        <w:t xml:space="preserve"> </w:t>
      </w:r>
      <w:r>
        <w:t xml:space="preserve">Designed tailored banking packages for enterprises involved in BRI projects, contributing to a 25% increase in branch revenue in 2019.</w:t>
      </w:r>
    </w:p>
    <w:p>
      <w:pPr>
        <w:pStyle w:val="BodyText"/>
      </w:pPr>
      <w:r>
        <w:rPr>
          <w:bCs/>
          <w:b/>
        </w:rPr>
        <w:t xml:space="preserve">Beijing Financial Inclusion Campaign (2017):</w:t>
      </w:r>
      <w:r>
        <w:t xml:space="preserve"> </w:t>
      </w:r>
      <w:r>
        <w:t xml:space="preserve">Launched initiatives to provide microloans and financial literacy programs to underserved communities, impacting over 5,000 households.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 from ICBC, Bank of China, and CCB are willing to provide references for this resume.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China Beijing</dc:title>
  <dc:creator/>
  <dc:language>en</dc:language>
  <cp:keywords/>
  <dcterms:created xsi:type="dcterms:W3CDTF">2026-07-23T05:30:23Z</dcterms:created>
  <dcterms:modified xsi:type="dcterms:W3CDTF">2026-07-23T05:30:23Z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