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Ahmad Razif bin Mohamad</w:t>
      </w:r>
      <w:r>
        <w:br/>
      </w:r>
      <w:r>
        <w:rPr>
          <w:bCs/>
          <w:b/>
        </w:rPr>
        <w:t xml:space="preserve">Email:</w:t>
      </w:r>
      <w:r>
        <w:t xml:space="preserve"> </w:t>
      </w:r>
      <w:r>
        <w:t xml:space="preserve">ahmad.razif.banker@gmail.com</w:t>
      </w:r>
      <w:r>
        <w:br/>
      </w:r>
      <w:r>
        <w:rPr>
          <w:bCs/>
          <w:b/>
        </w:rPr>
        <w:t xml:space="preserve">Phone:</w:t>
      </w:r>
      <w:r>
        <w:t xml:space="preserve"> </w:t>
      </w:r>
      <w:r>
        <w:t xml:space="preserve">+6012-345-6789</w:t>
      </w:r>
      <w:r>
        <w:br/>
      </w: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dynamic and results-driven Banker with over 10 years of experience in the financial services sector, specializing in retail and corporate banking solutions. Adept at building long-term relationships with clients while delivering innovative financial strategies tailored to the unique needs of Malaysia Kuala Lumpur’s diverse market. Passionate about contributing to the growth of local communities through responsible banking practices and fostering trust within the Malaysian financial ecosystem. Proven expertise in navigating regulatory frameworks, managing high-net-worth client portfolios, and driving branch performance metrics in a competitive environment.</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Maybank Malaysia Bhd</w:t>
      </w:r>
      <w:r>
        <w:br/>
      </w:r>
      <w:r>
        <w:t xml:space="preserve">Kuala Lumpur, Malaysia | January 2018 – Present</w:t>
      </w:r>
      <w:r>
        <w:br/>
      </w:r>
      <w:r>
        <w:t xml:space="preserve">- Managed a portfolio of over 500 high-net-worth clients in Kuala Lumpur, delivering personalized banking solutions including wealth management, investment products, and corporate finance advisory.</w:t>
      </w:r>
      <w:r>
        <w:br/>
      </w:r>
      <w:r>
        <w:t xml:space="preserve">- Collaborated with cross-functional teams to design customized financial strategies that aligned with client goals and regulatory compliance in Malaysia.</w:t>
      </w:r>
      <w:r>
        <w:br/>
      </w:r>
      <w:r>
        <w:t xml:space="preserve">- Led branch performance initiatives, achieving a 15% year-over-year increase in customer satisfaction scores (Kuala Lumpur region).</w:t>
      </w:r>
      <w:r>
        <w:br/>
      </w:r>
      <w:r>
        <w:t xml:space="preserve">- Acted as a key liaison between clients and internal stakeholders, ensuring seamless execution of complex financial transactions within Malaysia’s evolving regulatory landscape.</w:t>
      </w:r>
      <w:r>
        <w:br/>
      </w:r>
      <w:r>
        <w:t xml:space="preserve">- Recognized for excellence in client retention, maintaining a 98% client satisfaction rate in Kuala Lumpur.</w:t>
      </w:r>
    </w:p>
    <w:bookmarkEnd w:id="22"/>
    <w:bookmarkStart w:id="23" w:name="assistant-manager-corporate-banking"/>
    <w:p>
      <w:pPr>
        <w:pStyle w:val="Heading3"/>
      </w:pPr>
      <w:r>
        <w:t xml:space="preserve">Assistant Manager (Corporate Banking)</w:t>
      </w:r>
    </w:p>
    <w:p>
      <w:pPr>
        <w:pStyle w:val="FirstParagraph"/>
      </w:pPr>
      <w:r>
        <w:rPr>
          <w:bCs/>
          <w:b/>
        </w:rPr>
        <w:t xml:space="preserve">CIMB Bank Berhad</w:t>
      </w:r>
      <w:r>
        <w:br/>
      </w:r>
      <w:r>
        <w:t xml:space="preserve">Kuala Lumpur, Malaysia | June 2014 – December 2017</w:t>
      </w:r>
      <w:r>
        <w:br/>
      </w:r>
      <w:r>
        <w:t xml:space="preserve">- Provided financial solutions to SMEs and large corporations in Kuala Lumpur, including trade finance, cash management, and loan structuring.</w:t>
      </w:r>
      <w:r>
        <w:br/>
      </w:r>
      <w:r>
        <w:t xml:space="preserve">- Conducted in-depth market analysis to identify growth opportunities for clients operating within Malaysia’s key industries such as manufacturing, real estate, and technology.</w:t>
      </w:r>
      <w:r>
        <w:br/>
      </w:r>
      <w:r>
        <w:t xml:space="preserve">- Developed strong relationships with regional partners to expand CIMB’s corporate banking footprint in Kuala Lumpur and surrounding areas.</w:t>
      </w:r>
      <w:r>
        <w:br/>
      </w:r>
      <w:r>
        <w:t xml:space="preserve">- Trained junior staff on compliance procedures and client relationship management, contributing to a 20% improvement in team productivity.</w:t>
      </w:r>
    </w:p>
    <w:bookmarkEnd w:id="23"/>
    <w:bookmarkStart w:id="24" w:name="relationship-executive"/>
    <w:p>
      <w:pPr>
        <w:pStyle w:val="Heading3"/>
      </w:pPr>
      <w:r>
        <w:t xml:space="preserve">Relationship Executive</w:t>
      </w:r>
    </w:p>
    <w:p>
      <w:pPr>
        <w:pStyle w:val="FirstParagraph"/>
      </w:pPr>
      <w:r>
        <w:rPr>
          <w:bCs/>
          <w:b/>
        </w:rPr>
        <w:t xml:space="preserve">Public Bank Berhad</w:t>
      </w:r>
      <w:r>
        <w:br/>
      </w:r>
      <w:r>
        <w:t xml:space="preserve">Kuala Lumpur, Malaysia | February 2011 – May 2014</w:t>
      </w:r>
      <w:r>
        <w:br/>
      </w:r>
      <w:r>
        <w:t xml:space="preserve">- Focused on retail banking services, including personal loans, credit cards, and savings accounts for Kuala Lumpur residents.</w:t>
      </w:r>
      <w:r>
        <w:br/>
      </w:r>
      <w:r>
        <w:t xml:space="preserve">- Implemented digital banking initiatives to enhance customer engagement and streamline service delivery in line with Malaysia’s fintech advancements.</w:t>
      </w:r>
      <w:r>
        <w:br/>
      </w:r>
      <w:r>
        <w:t xml:space="preserve">- Achieved top-tier performance in sales targets, contributing to a 12% increase in new account openings during the 2013-2014 fiscal year.</w:t>
      </w:r>
      <w:r>
        <w:br/>
      </w:r>
      <w:r>
        <w:t xml:space="preserve">- Participated in community outreach programs, promoting financial literacy among underserved populations in Kuala Lumpur.</w:t>
      </w:r>
    </w:p>
    <w:bookmarkEnd w:id="24"/>
    <w:bookmarkEnd w:id="25"/>
    <w:bookmarkStart w:id="26" w:name="education"/>
    <w:p>
      <w:pPr>
        <w:pStyle w:val="Heading2"/>
      </w:pPr>
      <w:r>
        <w:t xml:space="preserve">Education</w:t>
      </w:r>
    </w:p>
    <w:p>
      <w:pPr>
        <w:pStyle w:val="FirstParagraph"/>
      </w:pPr>
      <w:r>
        <w:rPr>
          <w:bCs/>
          <w:b/>
        </w:rPr>
        <w:t xml:space="preserve">Bachelor of Business Administration (Honours) in Finance</w:t>
      </w:r>
      <w:r>
        <w:br/>
      </w:r>
      <w:r>
        <w:t xml:space="preserve">Universiti Malaya, Kuala Lumpur, Malaysia | 2010</w:t>
      </w:r>
      <w:r>
        <w:br/>
      </w:r>
      <w:r>
        <w:t xml:space="preserve">- Graduated with distinction, specializing in financial markets and investment analysis.</w:t>
      </w:r>
      <w:r>
        <w:br/>
      </w:r>
      <w:r>
        <w:t xml:space="preserve">- Completed a capstone project on "Financial Inclusion Strategies for Urban Populations in Malaysia," focusing on Kuala Lumpur’s economic development.</w:t>
      </w:r>
    </w:p>
    <w:bookmarkEnd w:id="26"/>
    <w:bookmarkStart w:id="27" w:name="skills"/>
    <w:p>
      <w:pPr>
        <w:pStyle w:val="Heading2"/>
      </w:pPr>
      <w:r>
        <w:t xml:space="preserve">Skills</w:t>
      </w:r>
    </w:p>
    <w:p>
      <w:pPr>
        <w:numPr>
          <w:ilvl w:val="0"/>
          <w:numId w:val="1001"/>
        </w:numPr>
        <w:pStyle w:val="Compact"/>
      </w:pPr>
      <w:r>
        <w:t xml:space="preserve">Advanced knowledge of banking operations, including credit risk assessment and compliance with Bank Negara Malaysia regulations.</w:t>
      </w:r>
    </w:p>
    <w:p>
      <w:pPr>
        <w:numPr>
          <w:ilvl w:val="0"/>
          <w:numId w:val="1001"/>
        </w:numPr>
        <w:pStyle w:val="Compact"/>
      </w:pPr>
      <w:r>
        <w:t xml:space="preserve">Proficient in financial software (e.g., SAP, Oracle) and Microsoft Office Suite.</w:t>
      </w:r>
    </w:p>
    <w:p>
      <w:pPr>
        <w:numPr>
          <w:ilvl w:val="0"/>
          <w:numId w:val="1001"/>
        </w:numPr>
        <w:pStyle w:val="Compact"/>
      </w:pPr>
      <w:r>
        <w:t xml:space="preserve">Strong interpersonal skills for building trust-based relationships with clients in Malaysia Kuala Lumpur’s multicultural environment.</w:t>
      </w:r>
    </w:p>
    <w:p>
      <w:pPr>
        <w:numPr>
          <w:ilvl w:val="0"/>
          <w:numId w:val="1001"/>
        </w:numPr>
        <w:pStyle w:val="Compact"/>
      </w:pPr>
      <w:r>
        <w:t xml:space="preserve">Certified in Customer Relationship Management (CRM) tools tailored for the Malaysian banking sector.</w:t>
      </w:r>
    </w:p>
    <w:p>
      <w:pPr>
        <w:numPr>
          <w:ilvl w:val="0"/>
          <w:numId w:val="1001"/>
        </w:numPr>
        <w:pStyle w:val="Compact"/>
      </w:pPr>
      <w:r>
        <w:t xml:space="preserve">Fluent in Malay, English, and basic Mandarin, enabling effective communication with diverse client bases across KL.</w:t>
      </w:r>
    </w:p>
    <w:bookmarkEnd w:id="27"/>
    <w:bookmarkStart w:id="28" w:name="certifications"/>
    <w:p>
      <w:pPr>
        <w:pStyle w:val="Heading2"/>
      </w:pPr>
      <w:r>
        <w:t xml:space="preserve">Certifications</w:t>
      </w:r>
    </w:p>
    <w:p>
      <w:pPr>
        <w:numPr>
          <w:ilvl w:val="0"/>
          <w:numId w:val="1002"/>
        </w:numPr>
        <w:pStyle w:val="Compact"/>
      </w:pPr>
      <w:r>
        <w:t xml:space="preserve">Chartered Banker (UK) – Institute of Banking &amp; Finance (IBF), 2019</w:t>
      </w:r>
    </w:p>
    <w:p>
      <w:pPr>
        <w:numPr>
          <w:ilvl w:val="0"/>
          <w:numId w:val="1002"/>
        </w:numPr>
        <w:pStyle w:val="Compact"/>
      </w:pPr>
      <w:r>
        <w:t xml:space="preserve">Certified Financial Planner (CFP) – Association of Chartered Certified Accountants, 2017</w:t>
      </w:r>
    </w:p>
    <w:p>
      <w:pPr>
        <w:numPr>
          <w:ilvl w:val="0"/>
          <w:numId w:val="1002"/>
        </w:numPr>
        <w:pStyle w:val="Compact"/>
      </w:pPr>
      <w:r>
        <w:t xml:space="preserve">Bank Negara Malaysia Compliance Certificate, 2016</w:t>
      </w:r>
    </w:p>
    <w:bookmarkEnd w:id="28"/>
    <w:bookmarkStart w:id="29" w:name="professional-affiliations"/>
    <w:p>
      <w:pPr>
        <w:pStyle w:val="Heading2"/>
      </w:pPr>
      <w:r>
        <w:t xml:space="preserve">Professional Affiliations</w:t>
      </w:r>
    </w:p>
    <w:p>
      <w:pPr>
        <w:numPr>
          <w:ilvl w:val="0"/>
          <w:numId w:val="1003"/>
        </w:numPr>
        <w:pStyle w:val="Compact"/>
      </w:pPr>
      <w:r>
        <w:t xml:space="preserve">Member of the Malaysian Bankers Association (MBA), Kuala Lumpur Chapter.</w:t>
      </w:r>
    </w:p>
    <w:p>
      <w:pPr>
        <w:numPr>
          <w:ilvl w:val="0"/>
          <w:numId w:val="1003"/>
        </w:numPr>
        <w:pStyle w:val="Compact"/>
      </w:pPr>
      <w:r>
        <w:t xml:space="preserve">Active participant in industry forums hosted by the Asian Banking Congress, focusing on digital transformation in Malaysian banking.</w:t>
      </w:r>
    </w:p>
    <w:bookmarkEnd w:id="29"/>
    <w:bookmarkStart w:id="30" w:name="languages"/>
    <w:p>
      <w:pPr>
        <w:pStyle w:val="Heading2"/>
      </w:pPr>
      <w:r>
        <w:t xml:space="preserve">Languages</w:t>
      </w:r>
    </w:p>
    <w:p>
      <w:pPr>
        <w:numPr>
          <w:ilvl w:val="0"/>
          <w:numId w:val="1004"/>
        </w:numPr>
        <w:pStyle w:val="Compact"/>
      </w:pPr>
      <w:r>
        <w:t xml:space="preserve">Melayu (Fluent)</w:t>
      </w:r>
    </w:p>
    <w:p>
      <w:pPr>
        <w:numPr>
          <w:ilvl w:val="0"/>
          <w:numId w:val="1004"/>
        </w:numPr>
        <w:pStyle w:val="Compact"/>
      </w:pPr>
      <w:r>
        <w:t xml:space="preserve">English (Fluent)</w:t>
      </w:r>
    </w:p>
    <w:p>
      <w:pPr>
        <w:numPr>
          <w:ilvl w:val="0"/>
          <w:numId w:val="1004"/>
        </w:numPr>
        <w:pStyle w:val="Compact"/>
      </w:pPr>
      <w:r>
        <w:t xml:space="preserve">Mandarin (Basic)</w:t>
      </w:r>
    </w:p>
    <w:bookmarkEnd w:id="30"/>
    <w:bookmarkStart w:id="31" w:name="references"/>
    <w:p>
      <w:pPr>
        <w:pStyle w:val="Heading2"/>
      </w:pPr>
      <w:r>
        <w:t xml:space="preserve">References</w:t>
      </w:r>
    </w:p>
    <w:p>
      <w:pPr>
        <w:pStyle w:val="FirstParagraph"/>
      </w:pPr>
      <w:r>
        <w:t xml:space="preserve">Available upon request. References include current and former colleagues from Malaysia Kuala Lumpur’s leading banks, including Maybank, CIMB, and Public Bank.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Malaysia Kuala Lumpur</dc:title>
  <dc:creator/>
  <dc:language>en</dc:language>
  <cp:keywords/>
  <dcterms:created xsi:type="dcterms:W3CDTF">2026-07-23T14:51:06Z</dcterms:created>
  <dcterms:modified xsi:type="dcterms:W3CDTF">2026-07-23T14:51:06Z</dcterms:modified>
</cp:coreProperties>
</file>

<file path=docProps/custom.xml><?xml version="1.0" encoding="utf-8"?>
<Properties xmlns="http://schemas.openxmlformats.org/officeDocument/2006/custom-properties" xmlns:vt="http://schemas.openxmlformats.org/officeDocument/2006/docPropsVTypes"/>
</file>