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Resume</w:t>
      </w:r>
      <w:r>
        <w:t xml:space="preserve"> </w:t>
      </w:r>
      <w:r>
        <w:t xml:space="preserve">-</w:t>
      </w:r>
      <w:r>
        <w:t xml:space="preserve"> </w:t>
      </w:r>
      <w:r>
        <w:t xml:space="preserve">Netherlands</w:t>
      </w:r>
      <w:r>
        <w:t xml:space="preserve"> </w:t>
      </w:r>
      <w:r>
        <w:t xml:space="preserve">Amsterdam</w:t>
      </w:r>
    </w:p>
    <w:bookmarkStart w:id="20" w:name="john-doe"/>
    <w:p>
      <w:pPr>
        <w:pStyle w:val="Heading1"/>
      </w:pPr>
      <w:r>
        <w:t xml:space="preserve">John Doe</w:t>
      </w:r>
    </w:p>
    <w:p>
      <w:pPr>
        <w:pStyle w:val="FirstParagraph"/>
      </w:pPr>
      <w:r>
        <w:rPr>
          <w:bCs/>
          <w:b/>
        </w:rPr>
        <w:t xml:space="preserve">Banker | Netherlands Amsterdam | Professional Financial Services Expert</w:t>
      </w:r>
    </w:p>
    <w:p>
      <w:pPr>
        <w:pStyle w:val="BodyText"/>
      </w:pPr>
      <w:r>
        <w:t xml:space="preserve">Email: johndoe@email.com | Phone: +31 6 12345678 | LinkedIn: linkedin.com/in/johndoe</w:t>
      </w:r>
    </w:p>
    <w:bookmarkEnd w:id="20"/>
    <w:bookmarkStart w:id="21" w:name="professional-summary"/>
    <w:p>
      <w:pPr>
        <w:pStyle w:val="Heading2"/>
      </w:pPr>
      <w:r>
        <w:t xml:space="preserve">Professional Summary</w:t>
      </w:r>
    </w:p>
    <w:p>
      <w:pPr>
        <w:pStyle w:val="FirstParagraph"/>
      </w:pPr>
      <w:r>
        <w:t xml:space="preserve">Dynamic and results-driven Banker with over a decade of experience in the Netherlands Amsterdam financial sector. Adept at managing client relationships, developing innovative banking solutions, and ensuring compliance with Dutch regulatory frameworks. Proven expertise in corporate banking, wealth management, and risk assessment tailored to the unique needs of Amsterdam's business ecosystem. Committed to delivering exceptional service in the Netherlands Amsterdam banking landscape, leveraging a deep understanding of local market dynamics and international financial standards.</w:t>
      </w:r>
    </w:p>
    <w:bookmarkEnd w:id="21"/>
    <w:bookmarkStart w:id="25" w:name="work-experience"/>
    <w:p>
      <w:pPr>
        <w:pStyle w:val="Heading2"/>
      </w:pPr>
      <w:r>
        <w:t xml:space="preserve">Work Experience</w:t>
      </w:r>
    </w:p>
    <w:bookmarkStart w:id="22" w:name="senior-banker"/>
    <w:p>
      <w:pPr>
        <w:pStyle w:val="Heading3"/>
      </w:pPr>
      <w:r>
        <w:t xml:space="preserve">Senior Banker</w:t>
      </w:r>
    </w:p>
    <w:p>
      <w:pPr>
        <w:pStyle w:val="FirstParagraph"/>
      </w:pPr>
      <w:r>
        <w:rPr>
          <w:bCs/>
          <w:b/>
        </w:rPr>
        <w:t xml:space="preserve">ING Bank N.V., Amsterdam, Netherlands</w:t>
      </w:r>
    </w:p>
    <w:p>
      <w:pPr>
        <w:pStyle w:val="BodyText"/>
      </w:pPr>
      <w:r>
        <w:rPr>
          <w:iCs/>
          <w:i/>
        </w:rPr>
        <w:t xml:space="preserve">January 2018 – Present</w:t>
      </w:r>
    </w:p>
    <w:p>
      <w:pPr>
        <w:numPr>
          <w:ilvl w:val="0"/>
          <w:numId w:val="1001"/>
        </w:numPr>
        <w:pStyle w:val="Compact"/>
      </w:pPr>
      <w:r>
        <w:t xml:space="preserve">Spearhead client acquisition and retention strategies for high-net-worth individuals and SMEs in the Netherlands Amsterdam region, achieving a 25% growth in portfolio value over three years.</w:t>
      </w:r>
    </w:p>
    <w:p>
      <w:pPr>
        <w:numPr>
          <w:ilvl w:val="0"/>
          <w:numId w:val="1001"/>
        </w:numPr>
        <w:pStyle w:val="Compact"/>
      </w:pPr>
      <w:r>
        <w:t xml:space="preserve">Collaborate with cross-functional teams to design customized financial products aligned with Dutch tax regulations and Basel III standards, enhancing customer satisfaction scores by 30%.</w:t>
      </w:r>
    </w:p>
    <w:p>
      <w:pPr>
        <w:numPr>
          <w:ilvl w:val="0"/>
          <w:numId w:val="1001"/>
        </w:numPr>
        <w:pStyle w:val="Compact"/>
      </w:pPr>
      <w:r>
        <w:t xml:space="preserve">Lead workshops for clients on digital banking solutions, including ING’s mobile platform and sustainability-linked financing options, fostering trust in Amsterdam's evolving financial landscape.</w:t>
      </w:r>
    </w:p>
    <w:p>
      <w:pPr>
        <w:numPr>
          <w:ilvl w:val="0"/>
          <w:numId w:val="1001"/>
        </w:numPr>
        <w:pStyle w:val="Compact"/>
      </w:pPr>
      <w:r>
        <w:t xml:space="preserve">Act as a point of contact for regulatory compliance matters, ensuring adherence to the Netherlands’ Financial Supervision Authority (DFA) guidelines while maintaining operational efficiency.</w:t>
      </w:r>
    </w:p>
    <w:bookmarkEnd w:id="22"/>
    <w:bookmarkStart w:id="23" w:name="banking-specialist"/>
    <w:p>
      <w:pPr>
        <w:pStyle w:val="Heading3"/>
      </w:pPr>
      <w:r>
        <w:t xml:space="preserve">Banking Specialist</w:t>
      </w:r>
    </w:p>
    <w:p>
      <w:pPr>
        <w:pStyle w:val="FirstParagraph"/>
      </w:pPr>
      <w:r>
        <w:rPr>
          <w:bCs/>
          <w:b/>
        </w:rPr>
        <w:t xml:space="preserve">Rabobank, Amsterdam, Netherlands</w:t>
      </w:r>
    </w:p>
    <w:p>
      <w:pPr>
        <w:pStyle w:val="BodyText"/>
      </w:pPr>
      <w:r>
        <w:rPr>
          <w:iCs/>
          <w:i/>
        </w:rPr>
        <w:t xml:space="preserve">March 2014 – December 2017</w:t>
      </w:r>
    </w:p>
    <w:p>
      <w:pPr>
        <w:numPr>
          <w:ilvl w:val="0"/>
          <w:numId w:val="1002"/>
        </w:numPr>
        <w:pStyle w:val="Compact"/>
      </w:pPr>
      <w:r>
        <w:t xml:space="preserve">Managed a portfolio of 150+ corporate clients across sectors such as agriculture, renewable energy, and technology in the Netherlands Amsterdam area.</w:t>
      </w:r>
    </w:p>
    <w:p>
      <w:pPr>
        <w:numPr>
          <w:ilvl w:val="0"/>
          <w:numId w:val="1002"/>
        </w:numPr>
        <w:pStyle w:val="Compact"/>
      </w:pPr>
      <w:r>
        <w:t xml:space="preserve">Developed risk assessment frameworks to mitigate credit and market risks for clients, contributing to a 15% reduction in default rates during the tenure.</w:t>
      </w:r>
    </w:p>
    <w:p>
      <w:pPr>
        <w:numPr>
          <w:ilvl w:val="0"/>
          <w:numId w:val="1002"/>
        </w:numPr>
        <w:pStyle w:val="Compact"/>
      </w:pPr>
      <w:r>
        <w:t xml:space="preserve">Provided expert advice on international trade finance and cross-border transactions, supporting clients in navigating the complexities of EU banking regulations.</w:t>
      </w:r>
    </w:p>
    <w:p>
      <w:pPr>
        <w:numPr>
          <w:ilvl w:val="0"/>
          <w:numId w:val="1002"/>
        </w:numPr>
        <w:pStyle w:val="Compact"/>
      </w:pPr>
      <w:r>
        <w:t xml:space="preserve">Represented Rabobank at local business forums in Amsterdam, strengthening the bank’s reputation as a community-focused institution in the Netherlands.</w:t>
      </w:r>
    </w:p>
    <w:bookmarkEnd w:id="23"/>
    <w:bookmarkStart w:id="24" w:name="junior-banker"/>
    <w:p>
      <w:pPr>
        <w:pStyle w:val="Heading3"/>
      </w:pPr>
      <w:r>
        <w:t xml:space="preserve">Junior Banker</w:t>
      </w:r>
    </w:p>
    <w:p>
      <w:pPr>
        <w:pStyle w:val="FirstParagraph"/>
      </w:pPr>
      <w:r>
        <w:rPr>
          <w:bCs/>
          <w:b/>
        </w:rPr>
        <w:t xml:space="preserve">Kasbank, Utrecht, Netherlands (Remote for Amsterdam Operations)</w:t>
      </w:r>
    </w:p>
    <w:p>
      <w:pPr>
        <w:pStyle w:val="BodyText"/>
      </w:pPr>
      <w:r>
        <w:rPr>
          <w:iCs/>
          <w:i/>
        </w:rPr>
        <w:t xml:space="preserve">June 2011 – February 2014</w:t>
      </w:r>
    </w:p>
    <w:p>
      <w:pPr>
        <w:numPr>
          <w:ilvl w:val="0"/>
          <w:numId w:val="1003"/>
        </w:numPr>
        <w:pStyle w:val="Compact"/>
      </w:pPr>
      <w:r>
        <w:t xml:space="preserve">Supported the daily operations of branch services, including account management and loan processing for small businesses in the Netherlands.</w:t>
      </w:r>
    </w:p>
    <w:p>
      <w:pPr>
        <w:numPr>
          <w:ilvl w:val="0"/>
          <w:numId w:val="1003"/>
        </w:numPr>
        <w:pStyle w:val="Compact"/>
      </w:pPr>
      <w:r>
        <w:t xml:space="preserve">Implemented customer service protocols to improve response times by 20%, enhancing client loyalty in Amsterdam’s competitive banking environment.</w:t>
      </w:r>
    </w:p>
    <w:p>
      <w:pPr>
        <w:numPr>
          <w:ilvl w:val="0"/>
          <w:numId w:val="1003"/>
        </w:numPr>
        <w:pStyle w:val="Compact"/>
      </w:pPr>
      <w:r>
        <w:t xml:space="preserve">Participated in training programs on Dutch financial laws and digital transformation initiatives, aligning with the bank’s vision for innovation in the Netherlands Amsterdam market.</w:t>
      </w:r>
    </w:p>
    <w:bookmarkEnd w:id="24"/>
    <w:bookmarkEnd w:id="25"/>
    <w:bookmarkStart w:id="28" w:name="education"/>
    <w:p>
      <w:pPr>
        <w:pStyle w:val="Heading2"/>
      </w:pPr>
      <w:r>
        <w:t xml:space="preserve">Education</w:t>
      </w:r>
    </w:p>
    <w:bookmarkStart w:id="26" w:name="msc-in-banking-and-finance"/>
    <w:p>
      <w:pPr>
        <w:pStyle w:val="Heading3"/>
      </w:pPr>
      <w:r>
        <w:t xml:space="preserve">MSc in Banking and Finance</w:t>
      </w:r>
    </w:p>
    <w:p>
      <w:pPr>
        <w:pStyle w:val="FirstParagraph"/>
      </w:pPr>
      <w:r>
        <w:rPr>
          <w:bCs/>
          <w:b/>
        </w:rPr>
        <w:t xml:space="preserve">University of Amsterdam, Netherlands</w:t>
      </w:r>
    </w:p>
    <w:p>
      <w:pPr>
        <w:pStyle w:val="BodyText"/>
      </w:pPr>
      <w:r>
        <w:rPr>
          <w:iCs/>
          <w:i/>
        </w:rPr>
        <w:t xml:space="preserve">September 2009 – June 2011</w:t>
      </w:r>
    </w:p>
    <w:p>
      <w:pPr>
        <w:numPr>
          <w:ilvl w:val="0"/>
          <w:numId w:val="1004"/>
        </w:numPr>
        <w:pStyle w:val="Compact"/>
      </w:pPr>
      <w:r>
        <w:t xml:space="preserve">Specialized in financial markets, risk management, and corporate governance, with a focus on the Netherlands Amsterdam banking sector.</w:t>
      </w:r>
    </w:p>
    <w:p>
      <w:pPr>
        <w:numPr>
          <w:ilvl w:val="0"/>
          <w:numId w:val="1004"/>
        </w:numPr>
        <w:pStyle w:val="Compact"/>
      </w:pPr>
      <w:r>
        <w:t xml:space="preserve">Published a thesis on "Sustainable Banking Practices in the Netherlands: A Case Study of ING's Green Finance Initiatives."</w:t>
      </w:r>
    </w:p>
    <w:bookmarkEnd w:id="26"/>
    <w:bookmarkStart w:id="27" w:name="bsc-in-economics"/>
    <w:p>
      <w:pPr>
        <w:pStyle w:val="Heading3"/>
      </w:pPr>
      <w:r>
        <w:t xml:space="preserve">BSc in Economics</w:t>
      </w:r>
    </w:p>
    <w:p>
      <w:pPr>
        <w:pStyle w:val="FirstParagraph"/>
      </w:pPr>
      <w:r>
        <w:rPr>
          <w:bCs/>
          <w:b/>
        </w:rPr>
        <w:t xml:space="preserve">Erasmus University Rotterdam, Netherlands</w:t>
      </w:r>
    </w:p>
    <w:p>
      <w:pPr>
        <w:pStyle w:val="BodyText"/>
      </w:pPr>
      <w:r>
        <w:rPr>
          <w:iCs/>
          <w:i/>
        </w:rPr>
        <w:t xml:space="preserve">September 2006 – June 2009</w:t>
      </w:r>
    </w:p>
    <w:bookmarkEnd w:id="27"/>
    <w:bookmarkEnd w:id="28"/>
    <w:bookmarkStart w:id="29" w:name="skills"/>
    <w:p>
      <w:pPr>
        <w:pStyle w:val="Heading2"/>
      </w:pPr>
      <w:r>
        <w:t xml:space="preserve">Skills</w:t>
      </w:r>
    </w:p>
    <w:p>
      <w:pPr>
        <w:numPr>
          <w:ilvl w:val="0"/>
          <w:numId w:val="1005"/>
        </w:numPr>
        <w:pStyle w:val="Compact"/>
      </w:pPr>
      <w:r>
        <w:rPr>
          <w:bCs/>
          <w:b/>
        </w:rPr>
        <w:t xml:space="preserve">Finance &amp; Banking:</w:t>
      </w:r>
      <w:r>
        <w:t xml:space="preserve"> </w:t>
      </w:r>
      <w:r>
        <w:t xml:space="preserve">Corporate banking, wealth management, credit risk assessment, trade finance.</w:t>
      </w:r>
    </w:p>
    <w:p>
      <w:pPr>
        <w:numPr>
          <w:ilvl w:val="0"/>
          <w:numId w:val="1005"/>
        </w:numPr>
        <w:pStyle w:val="Compact"/>
      </w:pPr>
      <w:r>
        <w:rPr>
          <w:bCs/>
          <w:b/>
        </w:rPr>
        <w:t xml:space="preserve">Regulatory Compliance:</w:t>
      </w:r>
      <w:r>
        <w:t xml:space="preserve"> </w:t>
      </w:r>
      <w:r>
        <w:t xml:space="preserve">Knowledge of Dutch financial regulations (DFA), MiFID II, and Basel III standards.</w:t>
      </w:r>
    </w:p>
    <w:p>
      <w:pPr>
        <w:numPr>
          <w:ilvl w:val="0"/>
          <w:numId w:val="1005"/>
        </w:numPr>
        <w:pStyle w:val="Compact"/>
      </w:pPr>
      <w:r>
        <w:rPr>
          <w:bCs/>
          <w:b/>
        </w:rPr>
        <w:t xml:space="preserve">Digital Tools:</w:t>
      </w:r>
      <w:r>
        <w:t xml:space="preserve"> </w:t>
      </w:r>
      <w:r>
        <w:t xml:space="preserve">Proficient in SAP ERP, Bloomberg Terminal, and ING’s digital banking platform for Amsterdam-based clients.</w:t>
      </w:r>
    </w:p>
    <w:p>
      <w:pPr>
        <w:numPr>
          <w:ilvl w:val="0"/>
          <w:numId w:val="1005"/>
        </w:numPr>
        <w:pStyle w:val="Compact"/>
      </w:pPr>
      <w:r>
        <w:rPr>
          <w:bCs/>
          <w:b/>
        </w:rPr>
        <w:t xml:space="preserve">Languages:</w:t>
      </w:r>
      <w:r>
        <w:t xml:space="preserve"> </w:t>
      </w:r>
      <w:r>
        <w:t xml:space="preserve">Fluent in Dutch and English; basic proficiency in German (for cross-border operations).</w:t>
      </w:r>
    </w:p>
    <w:p>
      <w:pPr>
        <w:numPr>
          <w:ilvl w:val="0"/>
          <w:numId w:val="1005"/>
        </w:numPr>
        <w:pStyle w:val="Compact"/>
      </w:pPr>
      <w:r>
        <w:rPr>
          <w:bCs/>
          <w:b/>
        </w:rPr>
        <w:t xml:space="preserve">Soft Skills:</w:t>
      </w:r>
      <w:r>
        <w:t xml:space="preserve"> </w:t>
      </w:r>
      <w:r>
        <w:t xml:space="preserve">Client relationship management, strategic planning, team leadership, and cultural adaptability in a multicultural environment like the Netherlands Amsterdam.</w:t>
      </w:r>
    </w:p>
    <w:bookmarkEnd w:id="29"/>
    <w:bookmarkStart w:id="30" w:name="certifications-licenses"/>
    <w:p>
      <w:pPr>
        <w:pStyle w:val="Heading2"/>
      </w:pPr>
      <w:r>
        <w:t xml:space="preserve">Certifications &amp; Licenses</w:t>
      </w:r>
    </w:p>
    <w:p>
      <w:pPr>
        <w:numPr>
          <w:ilvl w:val="0"/>
          <w:numId w:val="1006"/>
        </w:numPr>
        <w:pStyle w:val="Compact"/>
      </w:pPr>
      <w:r>
        <w:rPr>
          <w:bCs/>
          <w:b/>
        </w:rPr>
        <w:t xml:space="preserve">Chartered Financial Analyst (CFA) Level III</w:t>
      </w:r>
      <w:r>
        <w:t xml:space="preserve"> </w:t>
      </w:r>
      <w:r>
        <w:t xml:space="preserve">– CFA Institute, 2017</w:t>
      </w:r>
    </w:p>
    <w:p>
      <w:pPr>
        <w:numPr>
          <w:ilvl w:val="0"/>
          <w:numId w:val="1006"/>
        </w:numPr>
        <w:pStyle w:val="Compact"/>
      </w:pPr>
      <w:r>
        <w:rPr>
          <w:bCs/>
          <w:b/>
        </w:rPr>
        <w:t xml:space="preserve">Dutch Banking License (DNL)</w:t>
      </w:r>
      <w:r>
        <w:t xml:space="preserve"> </w:t>
      </w:r>
      <w:r>
        <w:t xml:space="preserve">– Dutch Financial Supervisory Authority, 2016</w:t>
      </w:r>
    </w:p>
    <w:p>
      <w:pPr>
        <w:numPr>
          <w:ilvl w:val="0"/>
          <w:numId w:val="1006"/>
        </w:numPr>
        <w:pStyle w:val="Compact"/>
      </w:pPr>
      <w:r>
        <w:rPr>
          <w:bCs/>
          <w:b/>
        </w:rPr>
        <w:t xml:space="preserve">Professional Certificate in Risk Management</w:t>
      </w:r>
      <w:r>
        <w:t xml:space="preserve"> </w:t>
      </w:r>
      <w:r>
        <w:t xml:space="preserve">– University of Amsterdam, 2015</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Netherlands Banking Association (NVB)</w:t>
      </w:r>
      <w:r>
        <w:t xml:space="preserve"> </w:t>
      </w:r>
      <w:r>
        <w:t xml:space="preserve">– Member since 2018, actively participating in industry forums and policy discussions.</w:t>
      </w:r>
    </w:p>
    <w:p>
      <w:pPr>
        <w:numPr>
          <w:ilvl w:val="0"/>
          <w:numId w:val="1007"/>
        </w:numPr>
        <w:pStyle w:val="Compact"/>
      </w:pPr>
      <w:r>
        <w:rPr>
          <w:bCs/>
          <w:b/>
        </w:rPr>
        <w:t xml:space="preserve">Amsterdam Business Network (ABN)</w:t>
      </w:r>
      <w:r>
        <w:t xml:space="preserve"> </w:t>
      </w:r>
      <w:r>
        <w:t xml:space="preserve">– Regular attendee of events to stay updated on economic trends impacting the Netherlands Amsterdam banking sector.</w:t>
      </w:r>
    </w:p>
    <w:p>
      <w:pPr>
        <w:numPr>
          <w:ilvl w:val="0"/>
          <w:numId w:val="1007"/>
        </w:numPr>
        <w:pStyle w:val="Compact"/>
      </w:pPr>
      <w:r>
        <w:rPr>
          <w:bCs/>
          <w:b/>
        </w:rPr>
        <w:t xml:space="preserve">Eurobankers Association</w:t>
      </w:r>
      <w:r>
        <w:t xml:space="preserve"> </w:t>
      </w:r>
      <w:r>
        <w:t xml:space="preserve">– Engaged in collaborative initiatives to promote sustainable finance across the EU, with a focus on Amsterdam’s green economy.</w:t>
      </w:r>
    </w:p>
    <w:bookmarkEnd w:id="31"/>
    <w:bookmarkStart w:id="34" w:name="projects-contributions"/>
    <w:p>
      <w:pPr>
        <w:pStyle w:val="Heading2"/>
      </w:pPr>
      <w:r>
        <w:t xml:space="preserve">Projects &amp; Contributions</w:t>
      </w:r>
    </w:p>
    <w:bookmarkStart w:id="32" w:name="X46b5eb8b13687368481430a49567ebc783a3211"/>
    <w:p>
      <w:pPr>
        <w:pStyle w:val="Heading3"/>
      </w:pPr>
      <w:r>
        <w:t xml:space="preserve">Sustainability-Linked Loans Initiative (Netherlands Amsterdam)</w:t>
      </w:r>
    </w:p>
    <w:p>
      <w:pPr>
        <w:pStyle w:val="FirstParagraph"/>
      </w:pPr>
      <w:r>
        <w:rPr>
          <w:iCs/>
          <w:i/>
        </w:rPr>
        <w:t xml:space="preserve">ING Bank N.V., 2021</w:t>
      </w:r>
    </w:p>
    <w:p>
      <w:pPr>
        <w:numPr>
          <w:ilvl w:val="0"/>
          <w:numId w:val="1008"/>
        </w:numPr>
        <w:pStyle w:val="Compact"/>
      </w:pPr>
      <w:r>
        <w:t xml:space="preserve">Designed a loan product that ties interest rates to clients’ ESG (Environmental, Social, Governance) performance, aligning with the Netherlands’ climate goals.</w:t>
      </w:r>
    </w:p>
    <w:p>
      <w:pPr>
        <w:numPr>
          <w:ilvl w:val="0"/>
          <w:numId w:val="1008"/>
        </w:numPr>
        <w:pStyle w:val="Compact"/>
      </w:pPr>
      <w:r>
        <w:t xml:space="preserve">Collaborated with NGOs and local governments in Amsterdam to promote green financing options for SMEs.</w:t>
      </w:r>
    </w:p>
    <w:bookmarkEnd w:id="32"/>
    <w:bookmarkStart w:id="33" w:name="Xa3ff972cabe76d09e33f4afe3c2e5be8717ca34"/>
    <w:p>
      <w:pPr>
        <w:pStyle w:val="Heading3"/>
      </w:pPr>
      <w:r>
        <w:t xml:space="preserve">Digital Transformation of Branch Services</w:t>
      </w:r>
    </w:p>
    <w:p>
      <w:pPr>
        <w:pStyle w:val="FirstParagraph"/>
      </w:pPr>
      <w:r>
        <w:rPr>
          <w:iCs/>
          <w:i/>
        </w:rPr>
        <w:t xml:space="preserve">Rabobank, 2016</w:t>
      </w:r>
    </w:p>
    <w:p>
      <w:pPr>
        <w:numPr>
          <w:ilvl w:val="0"/>
          <w:numId w:val="1009"/>
        </w:numPr>
        <w:pStyle w:val="Compact"/>
      </w:pPr>
      <w:r>
        <w:t xml:space="preserve">Implemented a hybrid banking model combining in-branch and digital services, increasing customer satisfaction scores by 25% in Amsterdam.</w:t>
      </w:r>
    </w:p>
    <w:p>
      <w:pPr>
        <w:numPr>
          <w:ilvl w:val="0"/>
          <w:numId w:val="1009"/>
        </w:numPr>
        <w:pStyle w:val="Compact"/>
      </w:pPr>
      <w:r>
        <w:t xml:space="preserve">Trained staff on emerging technologies like blockchain for secure transactions, enhancing the bank’s reputation as an innovator in the Netherlands.</w:t>
      </w:r>
    </w:p>
    <w:bookmarkEnd w:id="33"/>
    <w:bookmarkEnd w:id="34"/>
    <w:bookmarkStart w:id="35" w:name="references"/>
    <w:p>
      <w:pPr>
        <w:pStyle w:val="Heading2"/>
      </w:pPr>
      <w:r>
        <w:t xml:space="preserve">References</w:t>
      </w:r>
    </w:p>
    <w:p>
      <w:pPr>
        <w:pStyle w:val="FirstParagraph"/>
      </w:pPr>
      <w:r>
        <w:t xml:space="preserve">Available upon request. Contact: johndoe@email.com</w:t>
      </w:r>
    </w:p>
    <w:bookmarkEnd w:id="35"/>
    <w:p>
      <w:pPr>
        <w:pStyle w:val="BodyText"/>
      </w:pPr>
      <w:r>
        <w:rPr>
          <w:bCs/>
          <w:b/>
        </w:rPr>
        <w:t xml:space="preserve">Resume for Banker in the Netherlands Amsterdam – Created with expertise in financial services, tailored for the Dutch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Resume - Netherlands Amsterdam</dc:title>
  <dc:creator/>
  <dc:language>en</dc:language>
  <cp:keywords/>
  <dcterms:created xsi:type="dcterms:W3CDTF">2026-07-21T02:45:09Z</dcterms:created>
  <dcterms:modified xsi:type="dcterms:W3CDTF">2026-07-21T02:45:09Z</dcterms:modified>
</cp:coreProperties>
</file>

<file path=docProps/custom.xml><?xml version="1.0" encoding="utf-8"?>
<Properties xmlns="http://schemas.openxmlformats.org/officeDocument/2006/custom-properties" xmlns:vt="http://schemas.openxmlformats.org/officeDocument/2006/docPropsVTypes"/>
</file>