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resume"/>
    <w:p>
      <w:pPr>
        <w:pStyle w:val="Heading1"/>
      </w:pPr>
      <w:r>
        <w:t xml:space="preserve">Resume</w:t>
      </w:r>
    </w:p>
    <w:p>
      <w:pPr>
        <w:pStyle w:val="FirstParagraph"/>
      </w:pPr>
      <w:r>
        <w:rPr>
          <w:bCs/>
          <w:b/>
        </w:rPr>
        <w:t xml:space="preserve">John Doe</w:t>
      </w:r>
    </w:p>
    <w:p>
      <w:pPr>
        <w:pStyle w:val="BodyText"/>
      </w:pPr>
      <w:r>
        <w:t xml:space="preserve">Jeddah, Saudi Arabia | +966 55 123 4567 | john.doe@example.com</w:t>
      </w:r>
    </w:p>
    <w:bookmarkStart w:id="20" w:name="professional-summary"/>
    <w:p>
      <w:pPr>
        <w:pStyle w:val="Heading2"/>
      </w:pPr>
      <w:r>
        <w:t xml:space="preserve">Professional Summary</w:t>
      </w:r>
    </w:p>
    <w:p>
      <w:pPr>
        <w:pStyle w:val="FirstParagraph"/>
      </w:pPr>
      <w:r>
        <w:t xml:space="preserve">A dedicated and experienced Banker with over 8 years of expertise in financial services, client relationship management, and risk assessment. Specializing in Islamic Banking and conventional banking operations within the dynamic market of Saudi Arabia Jeddah. Proven track record in delivering innovative financial solutions to high-net-worth individuals and corporate clients, while adhering to regulatory standards set by the Saudi Central Bank (SAMA). Committed to fostering trust, ensuring compliance, and driving growth in the competitive banking sector of Jeddah.</w:t>
      </w:r>
    </w:p>
    <w:bookmarkEnd w:id="20"/>
    <w:bookmarkStart w:id="21" w:name="professional-experience"/>
    <w:p>
      <w:pPr>
        <w:pStyle w:val="Heading2"/>
      </w:pPr>
      <w:r>
        <w:t xml:space="preserve">Professional Experience</w:t>
      </w:r>
    </w:p>
    <w:p>
      <w:pPr>
        <w:pStyle w:val="FirstParagraph"/>
      </w:pPr>
      <w:r>
        <w:rPr>
          <w:bCs/>
          <w:b/>
        </w:rPr>
        <w:t xml:space="preserve">Senior Relationship Manager</w:t>
      </w:r>
      <w:r>
        <w:br/>
      </w:r>
      <w:r>
        <w:rPr>
          <w:iCs/>
          <w:i/>
        </w:rPr>
        <w:t xml:space="preserve">Al Rajhi Bank, Jeddah, Saudi Arabia</w:t>
      </w:r>
      <w:r>
        <w:br/>
      </w:r>
      <w:r>
        <w:rPr>
          <w:bCs/>
          <w:b/>
        </w:rPr>
        <w:t xml:space="preserve">January 2019 – Present</w:t>
      </w:r>
    </w:p>
    <w:p>
      <w:pPr>
        <w:numPr>
          <w:ilvl w:val="0"/>
          <w:numId w:val="1001"/>
        </w:numPr>
        <w:pStyle w:val="Compact"/>
      </w:pPr>
      <w:r>
        <w:t xml:space="preserve">Managed a portfolio of 50+ high-value clients, including SMEs and VIP individuals, achieving an annual growth rate of 15% in customer assets under management.</w:t>
      </w:r>
    </w:p>
    <w:p>
      <w:pPr>
        <w:numPr>
          <w:ilvl w:val="0"/>
          <w:numId w:val="1001"/>
        </w:numPr>
        <w:pStyle w:val="Compact"/>
      </w:pPr>
      <w:r>
        <w:t xml:space="preserve">Developed tailored financial solutions such as Islamic investment accounts, trade finance packages, and mortgage products aligned with Sharia compliance standards.</w:t>
      </w:r>
    </w:p>
    <w:p>
      <w:pPr>
        <w:numPr>
          <w:ilvl w:val="0"/>
          <w:numId w:val="1001"/>
        </w:numPr>
        <w:pStyle w:val="Compact"/>
      </w:pPr>
      <w:r>
        <w:t xml:space="preserve">Collaborated with cross-functional teams to enhance client onboarding processes, reducing processing time by 20% through digital transformation initiatives in Jeddah branches.</w:t>
      </w:r>
    </w:p>
    <w:p>
      <w:pPr>
        <w:numPr>
          <w:ilvl w:val="0"/>
          <w:numId w:val="1001"/>
        </w:numPr>
        <w:pStyle w:val="Compact"/>
      </w:pPr>
      <w:r>
        <w:t xml:space="preserve">Provided expert guidance on wealth management and tax optimization strategies, contributing to a 30% increase in customer satisfaction scores (CSAT) in 2022.</w:t>
      </w:r>
    </w:p>
    <w:p>
      <w:pPr>
        <w:numPr>
          <w:ilvl w:val="0"/>
          <w:numId w:val="1001"/>
        </w:numPr>
        <w:pStyle w:val="Compact"/>
      </w:pPr>
      <w:r>
        <w:t xml:space="preserve">Acted as a liaison between clients and the bank’s risk management department, ensuring seamless compliance with SAMA regulations and mitigating operational risks.</w:t>
      </w:r>
    </w:p>
    <w:p>
      <w:pPr>
        <w:pStyle w:val="FirstParagraph"/>
      </w:pPr>
      <w:r>
        <w:rPr>
          <w:bCs/>
          <w:b/>
        </w:rPr>
        <w:t xml:space="preserve">Branch Manager</w:t>
      </w:r>
      <w:r>
        <w:br/>
      </w:r>
      <w:r>
        <w:rPr>
          <w:iCs/>
          <w:i/>
        </w:rPr>
        <w:t xml:space="preserve">Bank of Riyadh, Jeddah, Saudi Arabia</w:t>
      </w:r>
      <w:r>
        <w:br/>
      </w:r>
      <w:r>
        <w:rPr>
          <w:bCs/>
          <w:b/>
        </w:rPr>
        <w:t xml:space="preserve">June 2015 – December 2018</w:t>
      </w:r>
    </w:p>
    <w:p>
      <w:pPr>
        <w:numPr>
          <w:ilvl w:val="0"/>
          <w:numId w:val="1002"/>
        </w:numPr>
        <w:pStyle w:val="Compact"/>
      </w:pPr>
      <w:r>
        <w:t xml:space="preserve">Supervised a team of 30 bankers across three Jeddah branches, improving staff productivity by 25% through training programs and performance incentives.</w:t>
      </w:r>
    </w:p>
    <w:p>
      <w:pPr>
        <w:numPr>
          <w:ilvl w:val="0"/>
          <w:numId w:val="1002"/>
        </w:numPr>
        <w:pStyle w:val="Compact"/>
      </w:pPr>
      <w:r>
        <w:t xml:space="preserve">Implemented customer-centric policies that increased branch footfall by 18% and improved digital banking adoption among Jeddah’s youth demographic.</w:t>
      </w:r>
    </w:p>
    <w:p>
      <w:pPr>
        <w:numPr>
          <w:ilvl w:val="0"/>
          <w:numId w:val="1002"/>
        </w:numPr>
        <w:pStyle w:val="Compact"/>
      </w:pPr>
      <w:r>
        <w:t xml:space="preserve">Led the expansion of microfinance services in underserved areas of Jeddah, contributing to the bank’s financial inclusion goals under the Vision 2030 initiative.</w:t>
      </w:r>
    </w:p>
    <w:p>
      <w:pPr>
        <w:numPr>
          <w:ilvl w:val="0"/>
          <w:numId w:val="1002"/>
        </w:numPr>
        <w:pStyle w:val="Compact"/>
      </w:pPr>
      <w:r>
        <w:t xml:space="preserve">Partnered with local businesses to offer exclusive financing options, resulting in a 22% rise in corporate loan approvals during the period.</w:t>
      </w:r>
    </w:p>
    <w:p>
      <w:pPr>
        <w:numPr>
          <w:ilvl w:val="0"/>
          <w:numId w:val="1002"/>
        </w:numPr>
        <w:pStyle w:val="Compact"/>
      </w:pPr>
      <w:r>
        <w:t xml:space="preserve">Ensured adherence to anti-money laundering (AML) protocols and conducted regular audits to maintain the branch’s compliance standing in Saudi Arabia.</w:t>
      </w:r>
    </w:p>
    <w:p>
      <w:pPr>
        <w:pStyle w:val="FirstParagraph"/>
      </w:pPr>
      <w:r>
        <w:rPr>
          <w:bCs/>
          <w:b/>
        </w:rPr>
        <w:t xml:space="preserve">Assistant Relationship Manager</w:t>
      </w:r>
      <w:r>
        <w:br/>
      </w:r>
      <w:r>
        <w:rPr>
          <w:iCs/>
          <w:i/>
        </w:rPr>
        <w:t xml:space="preserve">SABB (Saudi Agricultural Bank), Jeddah, Saudi Arabia</w:t>
      </w:r>
      <w:r>
        <w:br/>
      </w:r>
      <w:r>
        <w:rPr>
          <w:bCs/>
          <w:b/>
        </w:rPr>
        <w:t xml:space="preserve">July 2012 – May 2015</w:t>
      </w:r>
    </w:p>
    <w:p>
      <w:pPr>
        <w:numPr>
          <w:ilvl w:val="0"/>
          <w:numId w:val="1003"/>
        </w:numPr>
        <w:pStyle w:val="Compact"/>
      </w:pPr>
      <w:r>
        <w:t xml:space="preserve">Assisted in managing a client base of 30+ SMEs, focusing on agricultural and commercial financing solutions tailored to Jeddah’s economy.</w:t>
      </w:r>
    </w:p>
    <w:p>
      <w:pPr>
        <w:numPr>
          <w:ilvl w:val="0"/>
          <w:numId w:val="1003"/>
        </w:numPr>
        <w:pStyle w:val="Compact"/>
      </w:pPr>
      <w:r>
        <w:t xml:space="preserve">Supported the development of Islamic banking products, including murabaha and sukuk instruments, to meet the growing demand for Sharia-compliant services.</w:t>
      </w:r>
    </w:p>
    <w:p>
      <w:pPr>
        <w:numPr>
          <w:ilvl w:val="0"/>
          <w:numId w:val="1003"/>
        </w:numPr>
        <w:pStyle w:val="Compact"/>
      </w:pPr>
      <w:r>
        <w:t xml:space="preserve">Conducted financial literacy workshops for small business owners in Jeddah, enhancing their understanding of loan repayment structures and investment opportunities.</w:t>
      </w:r>
    </w:p>
    <w:p>
      <w:pPr>
        <w:numPr>
          <w:ilvl w:val="0"/>
          <w:numId w:val="1003"/>
        </w:numPr>
        <w:pStyle w:val="Compact"/>
      </w:pPr>
      <w:r>
        <w:t xml:space="preserve">Contributed to the bank’s digital transformation by promoting mobile banking apps and online customer portals, increasing user engagement by 40% within two years.</w:t>
      </w:r>
    </w:p>
    <w:p>
      <w:pPr>
        <w:numPr>
          <w:ilvl w:val="0"/>
          <w:numId w:val="1003"/>
        </w:numPr>
        <w:pStyle w:val="Compact"/>
      </w:pPr>
      <w:r>
        <w:t xml:space="preserve">Received recognition as "Top Performer" in 2014 for exceeding monthly sales targets by 25% in the Jeddah region.</w:t>
      </w:r>
    </w:p>
    <w:bookmarkEnd w:id="21"/>
    <w:bookmarkStart w:id="22" w:name="education"/>
    <w:p>
      <w:pPr>
        <w:pStyle w:val="Heading2"/>
      </w:pPr>
      <w:r>
        <w:t xml:space="preserve">Education</w:t>
      </w:r>
    </w:p>
    <w:p>
      <w:pPr>
        <w:pStyle w:val="FirstParagraph"/>
      </w:pPr>
      <w:r>
        <w:rPr>
          <w:bCs/>
          <w:b/>
        </w:rPr>
        <w:t xml:space="preserve">MBA in Banking and Finance</w:t>
      </w:r>
      <w:r>
        <w:br/>
      </w:r>
      <w:r>
        <w:rPr>
          <w:iCs/>
          <w:i/>
        </w:rPr>
        <w:t xml:space="preserve">King Saud University, Riyadh, Saudi Arabia</w:t>
      </w:r>
      <w:r>
        <w:br/>
      </w:r>
      <w:r>
        <w:rPr>
          <w:bCs/>
          <w:b/>
        </w:rPr>
        <w:t xml:space="preserve">2010 – 2012</w:t>
      </w:r>
    </w:p>
    <w:p>
      <w:pPr>
        <w:pStyle w:val="BodyText"/>
      </w:pPr>
      <w:r>
        <w:t xml:space="preserve">Focused on financial markets, risk management, and Islamic banking principles. Graduated with honors.</w:t>
      </w:r>
    </w:p>
    <w:p>
      <w:pPr>
        <w:pStyle w:val="BodyText"/>
      </w:pPr>
      <w:r>
        <w:rPr>
          <w:bCs/>
          <w:b/>
        </w:rPr>
        <w:t xml:space="preserve">Bachelor of Science in Economics</w:t>
      </w:r>
      <w:r>
        <w:br/>
      </w:r>
      <w:r>
        <w:rPr>
          <w:iCs/>
          <w:i/>
        </w:rPr>
        <w:t xml:space="preserve">University of Jeddah, Saudi Arabia</w:t>
      </w:r>
      <w:r>
        <w:br/>
      </w:r>
      <w:r>
        <w:rPr>
          <w:bCs/>
          <w:b/>
        </w:rPr>
        <w:t xml:space="preserve">2006 – 2010</w:t>
      </w:r>
    </w:p>
    <w:p>
      <w:pPr>
        <w:pStyle w:val="BodyText"/>
      </w:pPr>
      <w:r>
        <w:t xml:space="preserve">Minor in Finance. Active participant in university banking clubs and seminars on Saudi Arabia’s financial sector.</w:t>
      </w:r>
    </w:p>
    <w:bookmarkEnd w:id="22"/>
    <w:bookmarkStart w:id="23" w:name="skills"/>
    <w:p>
      <w:pPr>
        <w:pStyle w:val="Heading2"/>
      </w:pPr>
      <w:r>
        <w:t xml:space="preserve">Skills</w:t>
      </w:r>
    </w:p>
    <w:p>
      <w:pPr>
        <w:numPr>
          <w:ilvl w:val="0"/>
          <w:numId w:val="1004"/>
        </w:numPr>
        <w:pStyle w:val="Compact"/>
      </w:pPr>
      <w:r>
        <w:t xml:space="preserve">Expertise in Islamic Banking and Conventional Financial Services</w:t>
      </w:r>
    </w:p>
    <w:p>
      <w:pPr>
        <w:numPr>
          <w:ilvl w:val="0"/>
          <w:numId w:val="1004"/>
        </w:numPr>
        <w:pStyle w:val="Compact"/>
      </w:pPr>
      <w:r>
        <w:t xml:space="preserve">Client Relationship Management (CRM) and Wealth Management</w:t>
      </w:r>
    </w:p>
    <w:p>
      <w:pPr>
        <w:numPr>
          <w:ilvl w:val="0"/>
          <w:numId w:val="1004"/>
        </w:numPr>
        <w:pStyle w:val="Compact"/>
      </w:pPr>
      <w:r>
        <w:t xml:space="preserve">Financial Risk Assessment and Compliance (SAMA, AML)</w:t>
      </w:r>
    </w:p>
    <w:p>
      <w:pPr>
        <w:numPr>
          <w:ilvl w:val="0"/>
          <w:numId w:val="1004"/>
        </w:numPr>
        <w:pStyle w:val="Compact"/>
      </w:pPr>
      <w:r>
        <w:t xml:space="preserve">Proficient in SWIFT, Core Banking Systems, and Microsoft Office Suite</w:t>
      </w:r>
    </w:p>
    <w:p>
      <w:pPr>
        <w:numPr>
          <w:ilvl w:val="0"/>
          <w:numId w:val="1004"/>
        </w:numPr>
        <w:pStyle w:val="Compact"/>
      </w:pPr>
      <w:r>
        <w:t xml:space="preserve">Certified in Sharia Compliance Auditing by the Saudi Arabian Monetary Authority</w:t>
      </w:r>
    </w:p>
    <w:p>
      <w:pPr>
        <w:numPr>
          <w:ilvl w:val="0"/>
          <w:numId w:val="1004"/>
        </w:numPr>
        <w:pStyle w:val="Compact"/>
      </w:pPr>
      <w:r>
        <w:t xml:space="preserve">Fluent in Arabic and English; basic knowledge of French</w:t>
      </w:r>
    </w:p>
    <w:bookmarkEnd w:id="23"/>
    <w:bookmarkStart w:id="24" w:name="certifications"/>
    <w:p>
      <w:pPr>
        <w:pStyle w:val="Heading2"/>
      </w:pPr>
      <w:r>
        <w:t xml:space="preserve">Certifications</w:t>
      </w:r>
    </w:p>
    <w:p>
      <w:pPr>
        <w:numPr>
          <w:ilvl w:val="0"/>
          <w:numId w:val="1005"/>
        </w:numPr>
        <w:pStyle w:val="Compact"/>
      </w:pPr>
      <w:r>
        <w:t xml:space="preserve">CFA Level II Candidate (Chartered Financial Analyst)</w:t>
      </w:r>
    </w:p>
    <w:p>
      <w:pPr>
        <w:numPr>
          <w:ilvl w:val="0"/>
          <w:numId w:val="1005"/>
        </w:numPr>
        <w:pStyle w:val="Compact"/>
      </w:pPr>
      <w:r>
        <w:t xml:space="preserve">Islamic Finance Certification (IFC) by the Islamic Banking and Finance Institute Malaysia (IBFIM)</w:t>
      </w:r>
    </w:p>
    <w:p>
      <w:pPr>
        <w:numPr>
          <w:ilvl w:val="0"/>
          <w:numId w:val="1005"/>
        </w:numPr>
        <w:pStyle w:val="Compact"/>
      </w:pPr>
      <w:r>
        <w:t xml:space="preserve">Leadership in Banking Training Program, Al Rajhi Bank, 2020</w:t>
      </w:r>
    </w:p>
    <w:p>
      <w:pPr>
        <w:numPr>
          <w:ilvl w:val="0"/>
          <w:numId w:val="1005"/>
        </w:numPr>
        <w:pStyle w:val="Compact"/>
      </w:pPr>
      <w:r>
        <w:t xml:space="preserve">SAMA Compliance &amp; Risk Management Workshop, 2019</w:t>
      </w:r>
    </w:p>
    <w:bookmarkEnd w:id="24"/>
    <w:bookmarkStart w:id="25" w:name="languages"/>
    <w:p>
      <w:pPr>
        <w:pStyle w:val="Heading2"/>
      </w:pPr>
      <w:r>
        <w:t xml:space="preserve">Languages</w:t>
      </w:r>
    </w:p>
    <w:p>
      <w:pPr>
        <w:pStyle w:val="FirstParagraph"/>
      </w:pPr>
      <w:r>
        <w:rPr>
          <w:bCs/>
          <w:b/>
        </w:rPr>
        <w:t xml:space="preserve">Arabic (Native)</w:t>
      </w:r>
    </w:p>
    <w:p>
      <w:pPr>
        <w:pStyle w:val="BodyText"/>
      </w:pPr>
      <w:r>
        <w:rPr>
          <w:bCs/>
          <w:b/>
        </w:rPr>
        <w:t xml:space="preserve">English (Proficient)</w:t>
      </w:r>
    </w:p>
    <w:p>
      <w:pPr>
        <w:pStyle w:val="BodyText"/>
      </w:pPr>
      <w:r>
        <w:rPr>
          <w:bCs/>
          <w:b/>
        </w:rPr>
        <w:t xml:space="preserve">French (Basic)</w:t>
      </w:r>
    </w:p>
    <w:bookmarkEnd w:id="25"/>
    <w:bookmarkStart w:id="2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Saudi Banking Association (SBA), Islamic Financial Services Board (IFSB).</w:t>
      </w:r>
    </w:p>
    <w:p>
      <w:pPr>
        <w:pStyle w:val="BodyText"/>
      </w:pPr>
      <w:r>
        <w:rPr>
          <w:bCs/>
          <w:b/>
        </w:rPr>
        <w:t xml:space="preserve">Community Involvement:</w:t>
      </w:r>
      <w:r>
        <w:t xml:space="preserve"> </w:t>
      </w:r>
      <w:r>
        <w:t xml:space="preserve">Volunteer for Jeddah’s Economic Development Council, contributing to youth employment programs under Vision 2030.</w:t>
      </w:r>
    </w:p>
    <w:p>
      <w:pPr>
        <w:pStyle w:val="BodyText"/>
      </w:pPr>
      <w:r>
        <w:rPr>
          <w:bCs/>
          <w:b/>
        </w:rPr>
        <w:t xml:space="preserve">Hobbies:</w:t>
      </w:r>
      <w:r>
        <w:t xml:space="preserve"> </w:t>
      </w:r>
      <w:r>
        <w:t xml:space="preserve">Traveling across Saudi Arabia, reading about financial markets, and participating in Jeddah’s cultural events.</w:t>
      </w:r>
    </w:p>
    <w:bookmarkEnd w:id="26"/>
    <w:bookmarkStart w:id="27" w:name="references"/>
    <w:p>
      <w:pPr>
        <w:pStyle w:val="Heading2"/>
      </w:pPr>
      <w:r>
        <w:t xml:space="preserve">References</w:t>
      </w:r>
    </w:p>
    <w:p>
      <w:pPr>
        <w:pStyle w:val="FirstParagraph"/>
      </w:pPr>
      <w:r>
        <w:t xml:space="preserve">Available upon request. References include senior bankers from Al Rajhi Bank, Bank of Riyadh, and SABB in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Saudi Arabia Jeddah</dc:title>
  <dc:creator/>
  <dc:language>en</dc:language>
  <cp:keywords/>
  <dcterms:created xsi:type="dcterms:W3CDTF">2025-12-10T10:33:27Z</dcterms:created>
  <dcterms:modified xsi:type="dcterms:W3CDTF">2025-12-10T10:33:27Z</dcterms:modified>
</cp:coreProperties>
</file>

<file path=docProps/custom.xml><?xml version="1.0" encoding="utf-8"?>
<Properties xmlns="http://schemas.openxmlformats.org/officeDocument/2006/custom-properties" xmlns:vt="http://schemas.openxmlformats.org/officeDocument/2006/docPropsVTypes"/>
</file>