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Moscow,</w:t>
      </w:r>
      <w:r>
        <w:t xml:space="preserve"> </w:t>
      </w:r>
      <w:r>
        <w:t xml:space="preserve">Russia</w:t>
      </w:r>
    </w:p>
    <w:bookmarkStart w:id="30" w:name="resume"/>
    <w:p>
      <w:pPr>
        <w:pStyle w:val="Heading1"/>
      </w:pPr>
      <w:r>
        <w:t xml:space="preserve">Resume</w:t>
      </w:r>
    </w:p>
    <w:bookmarkStart w:id="29" w:name="X3cbfe3a5cd81c3a3bda069fcde300654ffb8e39"/>
    <w:p>
      <w:pPr>
        <w:pStyle w:val="Heading2"/>
      </w:pPr>
      <w:r>
        <w:t xml:space="preserve">Doctor General Practitioner - Moscow, Russia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Elena Ivanova</w:t>
      </w:r>
      <w:r>
        <w:br/>
      </w:r>
      <w:r>
        <w:rPr>
          <w:bCs/>
          <w:b/>
        </w:rPr>
        <w:t xml:space="preserve">Email:</w:t>
      </w:r>
      <w:r>
        <w:t xml:space="preserve"> </w:t>
      </w:r>
      <w:r>
        <w:t xml:space="preserve">elena.ivanova@medmoscow.ru</w:t>
      </w:r>
      <w:r>
        <w:br/>
      </w:r>
      <w:r>
        <w:rPr>
          <w:bCs/>
          <w:b/>
        </w:rPr>
        <w:t xml:space="preserve">Phone:</w:t>
      </w:r>
      <w:r>
        <w:t xml:space="preserve"> </w:t>
      </w:r>
      <w:r>
        <w:t xml:space="preserve">+7 (495) 123-45-67</w:t>
      </w:r>
      <w:r>
        <w:br/>
      </w: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skilled and compassionate Doctor General Practitioner with over 10 years of experience in primary healthcare within Moscow, Russia. Specializing in providing comprehensive patient care, diagnosing and managing a wide range of medical conditions, and promoting preventive health strategies. Proficient in Russian and English, with a deep understanding of the healthcare system in Russia. Committed to delivering high-quality medical services tailored to the needs of diverse patient populations in Moscow.</w:t>
      </w:r>
    </w:p>
    <w:bookmarkEnd w:id="21"/>
    <w:bookmarkStart w:id="22" w:name="education"/>
    <w:p>
      <w:pPr>
        <w:pStyle w:val="Heading3"/>
      </w:pPr>
      <w:r>
        <w:t xml:space="preserve">Education</w:t>
      </w:r>
    </w:p>
    <w:p>
      <w:pPr>
        <w:pStyle w:val="FirstParagraph"/>
      </w:pPr>
      <w:r>
        <w:rPr>
          <w:bCs/>
          <w:b/>
        </w:rPr>
        <w:t xml:space="preserve">Sechenov First Moscow State Medical University</w:t>
      </w:r>
      <w:r>
        <w:br/>
      </w:r>
      <w:r>
        <w:t xml:space="preserve">MD, Medicine (2005–2011)</w:t>
      </w:r>
      <w:r>
        <w:br/>
      </w:r>
      <w:r>
        <w:t xml:space="preserve">- Graduated with honors</w:t>
      </w:r>
      <w:r>
        <w:br/>
      </w:r>
      <w:r>
        <w:t xml:space="preserve">- Specialized in Internal Medicine and Family Practice</w:t>
      </w:r>
      <w:r>
        <w:br/>
      </w:r>
      <w:r>
        <w:t xml:space="preserve">- Completed clinical rotations at major hospitals in Moscow, including the Russian National Research Medical University</w:t>
      </w:r>
    </w:p>
    <w:bookmarkEnd w:id="22"/>
    <w:bookmarkStart w:id="23" w:name="professional-experience"/>
    <w:p>
      <w:pPr>
        <w:pStyle w:val="Heading3"/>
      </w:pPr>
      <w:r>
        <w:t xml:space="preserve">Professional Experience</w:t>
      </w:r>
    </w:p>
    <w:p>
      <w:pPr>
        <w:pStyle w:val="FirstParagraph"/>
      </w:pPr>
      <w:r>
        <w:rPr>
          <w:bCs/>
          <w:b/>
        </w:rPr>
        <w:t xml:space="preserve">Senior General Practitioner</w:t>
      </w:r>
      <w:r>
        <w:br/>
      </w:r>
      <w:r>
        <w:rPr>
          <w:iCs/>
          <w:i/>
        </w:rPr>
        <w:t xml:space="preserve">Moscow Primary Healthcare Center No. 123</w:t>
      </w:r>
      <w:r>
        <w:br/>
      </w:r>
      <w:r>
        <w:t xml:space="preserve">January 2015 – Present</w:t>
      </w:r>
      <w:r>
        <w:br/>
      </w:r>
      <w:r>
        <w:t xml:space="preserve">- Provide comprehensive primary care services to over 500 patients annually, including diagnosis, treatment, and health education</w:t>
      </w:r>
      <w:r>
        <w:br/>
      </w:r>
      <w:r>
        <w:t xml:space="preserve">- Collaborate with specialists for complex cases, ensuring timely referrals and follow-ups</w:t>
      </w:r>
      <w:r>
        <w:br/>
      </w:r>
      <w:r>
        <w:t xml:space="preserve">- Implement preventive healthcare programs such as vaccination drives and chronic disease management in Moscow neighborhoods</w:t>
      </w:r>
      <w:r>
        <w:br/>
      </w:r>
      <w:r>
        <w:t xml:space="preserve">- Utilize electronic medical records (EMR) systems compliant with Russian healthcare standards</w:t>
      </w:r>
      <w:r>
        <w:br/>
      </w:r>
      <w:r>
        <w:t xml:space="preserve">- Mentor junior doctors and medical students during their clinical training</w:t>
      </w:r>
    </w:p>
    <w:p>
      <w:pPr>
        <w:pStyle w:val="BodyText"/>
      </w:pPr>
      <w:r>
        <w:rPr>
          <w:bCs/>
          <w:b/>
        </w:rPr>
        <w:t xml:space="preserve">General Practitioner</w:t>
      </w:r>
      <w:r>
        <w:br/>
      </w:r>
      <w:r>
        <w:rPr>
          <w:iCs/>
          <w:i/>
        </w:rPr>
        <w:t xml:space="preserve">Moscow Private Clinic "Zdravie"</w:t>
      </w:r>
      <w:r>
        <w:br/>
      </w:r>
      <w:r>
        <w:t xml:space="preserve">June 2011 – December 2014</w:t>
      </w:r>
      <w:r>
        <w:br/>
      </w:r>
      <w:r>
        <w:t xml:space="preserve">- Managed a diverse patient base, focusing on acute and chronic illness management</w:t>
      </w:r>
      <w:r>
        <w:br/>
      </w:r>
      <w:r>
        <w:t xml:space="preserve">- Conducted routine health check-ups, screenings, and health assessments tailored to Moscow’s urban population</w:t>
      </w:r>
      <w:r>
        <w:br/>
      </w:r>
      <w:r>
        <w:t xml:space="preserve">- Developed personalized treatment plans in line with Russian medical guidelines and international best practices</w:t>
      </w:r>
      <w:r>
        <w:br/>
      </w:r>
      <w:r>
        <w:t xml:space="preserve">- Maintained compliance with Russian healthcare regulations and patient privacy laws</w:t>
      </w:r>
    </w:p>
    <w:bookmarkEnd w:id="23"/>
    <w:bookmarkStart w:id="24" w:name="certifications-licenses"/>
    <w:p>
      <w:pPr>
        <w:pStyle w:val="Heading3"/>
      </w:pPr>
      <w:r>
        <w:t xml:space="preserve">Certifications &amp; Licenses</w:t>
      </w:r>
    </w:p>
    <w:p>
      <w:pPr>
        <w:numPr>
          <w:ilvl w:val="0"/>
          <w:numId w:val="1001"/>
        </w:numPr>
        <w:pStyle w:val="Compact"/>
      </w:pPr>
      <w:r>
        <w:rPr>
          <w:bCs/>
          <w:b/>
        </w:rPr>
        <w:t xml:space="preserve">Russian State Medical License (2011)</w:t>
      </w:r>
      <w:r>
        <w:t xml:space="preserve"> </w:t>
      </w:r>
      <w:r>
        <w:t xml:space="preserve">– Registered with the Ministry of Health, Russia</w:t>
      </w:r>
    </w:p>
    <w:p>
      <w:pPr>
        <w:numPr>
          <w:ilvl w:val="0"/>
          <w:numId w:val="1001"/>
        </w:numPr>
        <w:pStyle w:val="Compact"/>
      </w:pPr>
      <w:r>
        <w:rPr>
          <w:bCs/>
          <w:b/>
        </w:rPr>
        <w:t xml:space="preserve">Advanced Cardiac Life Support (ACLS) Certification</w:t>
      </w:r>
      <w:r>
        <w:t xml:space="preserve"> </w:t>
      </w:r>
      <w:r>
        <w:t xml:space="preserve">– American Heart Association, 2018</w:t>
      </w:r>
    </w:p>
    <w:p>
      <w:pPr>
        <w:numPr>
          <w:ilvl w:val="0"/>
          <w:numId w:val="1001"/>
        </w:numPr>
        <w:pStyle w:val="Compact"/>
      </w:pPr>
      <w:r>
        <w:rPr>
          <w:bCs/>
          <w:b/>
        </w:rPr>
        <w:t xml:space="preserve">Pediatric First Aid &amp; CPR Certification</w:t>
      </w:r>
      <w:r>
        <w:t xml:space="preserve"> </w:t>
      </w:r>
      <w:r>
        <w:t xml:space="preserve">– Russian Red Cross, 2016</w:t>
      </w:r>
    </w:p>
    <w:p>
      <w:pPr>
        <w:numPr>
          <w:ilvl w:val="0"/>
          <w:numId w:val="1001"/>
        </w:numPr>
        <w:pStyle w:val="Compact"/>
      </w:pPr>
      <w:r>
        <w:rPr>
          <w:bCs/>
          <w:b/>
        </w:rPr>
        <w:t xml:space="preserve">Continuing Medical Education (CME) Credits</w:t>
      </w:r>
      <w:r>
        <w:t xml:space="preserve"> </w:t>
      </w:r>
      <w:r>
        <w:t xml:space="preserve">– Annual completion of CME programs approved by the Russian Ministry of Health</w:t>
      </w:r>
    </w:p>
    <w:bookmarkEnd w:id="24"/>
    <w:bookmarkStart w:id="25" w:name="skills"/>
    <w:p>
      <w:pPr>
        <w:pStyle w:val="Heading3"/>
      </w:pPr>
      <w:r>
        <w:t xml:space="preserve">Skills</w:t>
      </w:r>
    </w:p>
    <w:p>
      <w:pPr>
        <w:numPr>
          <w:ilvl w:val="0"/>
          <w:numId w:val="1002"/>
        </w:numPr>
        <w:pStyle w:val="Compact"/>
      </w:pPr>
      <w:r>
        <w:t xml:space="preserve">Expertise in diagnosing and managing common and complex medical conditions (e.g., hypertension, diabetes, respiratory infections)</w:t>
      </w:r>
    </w:p>
    <w:p>
      <w:pPr>
        <w:numPr>
          <w:ilvl w:val="0"/>
          <w:numId w:val="1002"/>
        </w:numPr>
        <w:pStyle w:val="Compact"/>
      </w:pPr>
      <w:r>
        <w:t xml:space="preserve">Proficient in Russian and English languages</w:t>
      </w:r>
    </w:p>
    <w:p>
      <w:pPr>
        <w:numPr>
          <w:ilvl w:val="0"/>
          <w:numId w:val="1002"/>
        </w:numPr>
        <w:pStyle w:val="Compact"/>
      </w:pPr>
      <w:r>
        <w:t xml:space="preserve">Strong communication skills for patient education and cultural sensitivity in Moscow’s multicultural environment</w:t>
      </w:r>
    </w:p>
    <w:p>
      <w:pPr>
        <w:numPr>
          <w:ilvl w:val="0"/>
          <w:numId w:val="1002"/>
        </w:numPr>
        <w:pStyle w:val="Compact"/>
      </w:pPr>
      <w:r>
        <w:t xml:space="preserve">Experience with telemedicine platforms used in Russia’s healthcare sector</w:t>
      </w:r>
    </w:p>
    <w:p>
      <w:pPr>
        <w:numPr>
          <w:ilvl w:val="0"/>
          <w:numId w:val="1002"/>
        </w:numPr>
        <w:pStyle w:val="Compact"/>
      </w:pPr>
      <w:r>
        <w:t xml:space="preserve">Certified in using EMR systems such as MedEx (Russia-specific software)</w:t>
      </w:r>
    </w:p>
    <w:p>
      <w:pPr>
        <w:numPr>
          <w:ilvl w:val="0"/>
          <w:numId w:val="1002"/>
        </w:numPr>
        <w:pStyle w:val="Compact"/>
      </w:pPr>
      <w:r>
        <w:t xml:space="preserve">Knowledge of Russian medical billing and insurance procedures</w:t>
      </w:r>
    </w:p>
    <w:bookmarkEnd w:id="25"/>
    <w:bookmarkStart w:id="26" w:name="professional-affiliations"/>
    <w:p>
      <w:pPr>
        <w:pStyle w:val="Heading3"/>
      </w:pPr>
      <w:r>
        <w:t xml:space="preserve">Professional Affiliations</w:t>
      </w:r>
    </w:p>
    <w:p>
      <w:pPr>
        <w:numPr>
          <w:ilvl w:val="0"/>
          <w:numId w:val="1003"/>
        </w:numPr>
        <w:pStyle w:val="Compact"/>
      </w:pPr>
      <w:r>
        <w:rPr>
          <w:bCs/>
          <w:b/>
        </w:rPr>
        <w:t xml:space="preserve">Russian Association of General Practitioners (RAGP)</w:t>
      </w:r>
      <w:r>
        <w:t xml:space="preserve"> </w:t>
      </w:r>
      <w:r>
        <w:t xml:space="preserve">– Member since 2012</w:t>
      </w:r>
    </w:p>
    <w:p>
      <w:pPr>
        <w:numPr>
          <w:ilvl w:val="0"/>
          <w:numId w:val="1003"/>
        </w:numPr>
        <w:pStyle w:val="Compact"/>
      </w:pPr>
      <w:r>
        <w:rPr>
          <w:bCs/>
          <w:b/>
        </w:rPr>
        <w:t xml:space="preserve">Moscow Medical Council</w:t>
      </w:r>
      <w:r>
        <w:t xml:space="preserve"> </w:t>
      </w:r>
      <w:r>
        <w:t xml:space="preserve">– Active participant in regional healthcare policy discussions</w:t>
      </w:r>
    </w:p>
    <w:p>
      <w:pPr>
        <w:numPr>
          <w:ilvl w:val="0"/>
          <w:numId w:val="1003"/>
        </w:numPr>
        <w:pStyle w:val="Compact"/>
      </w:pPr>
      <w:r>
        <w:rPr>
          <w:bCs/>
          <w:b/>
        </w:rPr>
        <w:t xml:space="preserve">World Organization of Family Doctors (WONCA)</w:t>
      </w:r>
      <w:r>
        <w:t xml:space="preserve"> </w:t>
      </w:r>
      <w:r>
        <w:t xml:space="preserve">– International network for general practitioners, 2017–Present</w:t>
      </w:r>
    </w:p>
    <w:bookmarkEnd w:id="26"/>
    <w:bookmarkStart w:id="27" w:name="language-proficiency"/>
    <w:p>
      <w:pPr>
        <w:pStyle w:val="Heading3"/>
      </w:pPr>
      <w:r>
        <w:t xml:space="preserve">Language Proficiency</w:t>
      </w:r>
    </w:p>
    <w:p>
      <w:pPr>
        <w:numPr>
          <w:ilvl w:val="0"/>
          <w:numId w:val="1004"/>
        </w:numPr>
        <w:pStyle w:val="Compact"/>
      </w:pPr>
      <w:r>
        <w:t xml:space="preserve">Russian – Native speaker</w:t>
      </w:r>
    </w:p>
    <w:p>
      <w:pPr>
        <w:numPr>
          <w:ilvl w:val="0"/>
          <w:numId w:val="1004"/>
        </w:numPr>
        <w:pStyle w:val="Compact"/>
      </w:pPr>
      <w:r>
        <w:t xml:space="preserve">English – Fluent (IELTS 7.5)</w:t>
      </w:r>
    </w:p>
    <w:p>
      <w:pPr>
        <w:numPr>
          <w:ilvl w:val="0"/>
          <w:numId w:val="1004"/>
        </w:numPr>
        <w:pStyle w:val="Compact"/>
      </w:pPr>
      <w:r>
        <w:t xml:space="preserve">Basic knowledge of French and German for international collaboration</w:t>
      </w:r>
    </w:p>
    <w:bookmarkEnd w:id="27"/>
    <w:bookmarkStart w:id="28" w:name="references"/>
    <w:p>
      <w:pPr>
        <w:pStyle w:val="Heading3"/>
      </w:pPr>
      <w:r>
        <w:t xml:space="preserve">References</w:t>
      </w:r>
    </w:p>
    <w:p>
      <w:pPr>
        <w:pStyle w:val="FirstParagraph"/>
      </w:pPr>
      <w:r>
        <w:t xml:space="preserve">Available upon request. References include former colleagues from Moscow Primary Healthcare Center No. 123, supervising physicians from Sechenov University, and patients who have benefited from my care in Russia.</w:t>
      </w:r>
    </w:p>
    <w:bookmarkEnd w:id="28"/>
    <w:p>
      <w:pPr>
        <w:pStyle w:val="BodyText"/>
      </w:pPr>
      <w:r>
        <w:rPr>
          <w:bCs/>
          <w:b/>
        </w:rPr>
        <w:t xml:space="preserve">Note:</w:t>
      </w:r>
      <w:r>
        <w:t xml:space="preserve"> </w:t>
      </w:r>
      <w:r>
        <w:t xml:space="preserve">This resume is tailored for a Doctor General Practitioner seeking employment in Moscow, Russia. It emphasizes expertise in Russian healthcare practices, language skills, and cultural adaptability to meet the demands of medical professionals working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Moscow, Russia</dc:title>
  <dc:creator/>
  <dc:language>en</dc:language>
  <cp:keywords/>
  <dcterms:created xsi:type="dcterms:W3CDTF">2026-07-23T07:43:53Z</dcterms:created>
  <dcterms:modified xsi:type="dcterms:W3CDTF">2026-07-23T07:43:53Z</dcterms:modified>
</cp:coreProperties>
</file>

<file path=docProps/custom.xml><?xml version="1.0" encoding="utf-8"?>
<Properties xmlns="http://schemas.openxmlformats.org/officeDocument/2006/custom-properties" xmlns:vt="http://schemas.openxmlformats.org/officeDocument/2006/docPropsVTypes"/>
</file>