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in</w:t>
      </w:r>
      <w:r>
        <w:t xml:space="preserve"> </w:t>
      </w:r>
      <w:r>
        <w:t xml:space="preserve">Iran</w:t>
      </w:r>
      <w:r>
        <w:t xml:space="preserve"> </w:t>
      </w:r>
      <w:r>
        <w:t xml:space="preserve">Tehran</w:t>
      </w:r>
    </w:p>
    <w:bookmarkStart w:id="33" w:name="resume-of-a-judge-in-iran-tehran"/>
    <w:p>
      <w:pPr>
        <w:pStyle w:val="Heading1"/>
      </w:pPr>
      <w:r>
        <w:t xml:space="preserve">Resume of a Judge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This resume represents a distinguished Judge in Iran Tehran, with over [X years] of experience in administering justice within the Islamic legal framework. As a judicial authority in one of the most significant cities in Iran, this individual has consistently upheld the principles of fairness, equity, and adherence to Iranian law. The Judge’s career reflects a deep commitment to upholding the rule of law and contributing to the development of legal precedents that align with both national statutes and Islamic jurisprudence (Fiqh). This resume emphasizes the Judge's expertise in Tehran’s judiciary system, where they have played a pivotal role in resolving complex civil, criminal, and administrative cases. The Judge’s work is marked by integrity, impartiality, and a profound understanding of the legal landscape in Iran Tehran.</w:t>
      </w:r>
    </w:p>
    <w:bookmarkEnd w:id="21"/>
    <w:bookmarkStart w:id="22" w:name="education"/>
    <w:p>
      <w:pPr>
        <w:pStyle w:val="Heading2"/>
      </w:pPr>
      <w:r>
        <w:t xml:space="preserve">Education</w:t>
      </w:r>
    </w:p>
    <w:p>
      <w:pPr>
        <w:pStyle w:val="FirstParagraph"/>
      </w:pPr>
      <w:r>
        <w:rPr>
          <w:bCs/>
          <w:b/>
        </w:rPr>
        <w:t xml:space="preserve">LL.B. (Bachelor of Laws)</w:t>
      </w:r>
    </w:p>
    <w:p>
      <w:pPr>
        <w:pStyle w:val="BodyText"/>
      </w:pPr>
      <w:r>
        <w:t xml:space="preserve">University of Tehran, Faculty of Law</w:t>
      </w:r>
    </w:p>
    <w:p>
      <w:pPr>
        <w:pStyle w:val="BodyText"/>
      </w:pPr>
      <w:r>
        <w:t xml:space="preserve">Graduated in [Year]</w:t>
      </w:r>
    </w:p>
    <w:p>
      <w:pPr>
        <w:pStyle w:val="BodyText"/>
      </w:pPr>
      <w:r>
        <w:br/>
      </w:r>
    </w:p>
    <w:p>
      <w:pPr>
        <w:pStyle w:val="BodyText"/>
      </w:pPr>
      <w:r>
        <w:rPr>
          <w:bCs/>
          <w:b/>
        </w:rPr>
        <w:t xml:space="preserve">M.Sc. in Islamic Jurisprudence</w:t>
      </w:r>
    </w:p>
    <w:p>
      <w:pPr>
        <w:pStyle w:val="BodyText"/>
      </w:pPr>
      <w:r>
        <w:t xml:space="preserve">Imam Khomeini Higher Education Center for Islamic Studies, Tehran</w:t>
      </w:r>
    </w:p>
    <w:p>
      <w:pPr>
        <w:pStyle w:val="BodyText"/>
      </w:pPr>
      <w:r>
        <w:t xml:space="preserve">Graduated in [Year]</w:t>
      </w:r>
    </w:p>
    <w:bookmarkEnd w:id="22"/>
    <w:bookmarkStart w:id="26" w:name="professional-experience"/>
    <w:p>
      <w:pPr>
        <w:pStyle w:val="Heading2"/>
      </w:pPr>
      <w:r>
        <w:t xml:space="preserve">Professional Experience</w:t>
      </w:r>
    </w:p>
    <w:bookmarkStart w:id="23" w:name="judge-tehran-revolutionary-court"/>
    <w:p>
      <w:pPr>
        <w:pStyle w:val="Heading3"/>
      </w:pPr>
      <w:r>
        <w:t xml:space="preserve">Judge, Tehran Revolutionary Court</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Present</w:t>
      </w:r>
    </w:p>
    <w:p>
      <w:pPr>
        <w:numPr>
          <w:ilvl w:val="0"/>
          <w:numId w:val="1001"/>
        </w:numPr>
        <w:pStyle w:val="Compact"/>
      </w:pPr>
      <w:r>
        <w:t xml:space="preserve">Served as a senior judge in the Tehran Revolutionary Court, overseeing high-profile cases related to national security, criminal law, and administrative justice.</w:t>
      </w:r>
    </w:p>
    <w:p>
      <w:pPr>
        <w:numPr>
          <w:ilvl w:val="0"/>
          <w:numId w:val="1001"/>
        </w:numPr>
        <w:pStyle w:val="Compact"/>
      </w:pPr>
      <w:r>
        <w:t xml:space="preserve">Played a key role in interpreting Islamic law and civil code provisions within the context of Iran’s legal system.</w:t>
      </w:r>
    </w:p>
    <w:p>
      <w:pPr>
        <w:numPr>
          <w:ilvl w:val="0"/>
          <w:numId w:val="1001"/>
        </w:numPr>
        <w:pStyle w:val="Compact"/>
      </w:pPr>
      <w:r>
        <w:t xml:space="preserve">Ensured compliance with constitutional principles while maintaining judicial independence in Tehran.</w:t>
      </w:r>
    </w:p>
    <w:bookmarkEnd w:id="23"/>
    <w:bookmarkStart w:id="24" w:name="judge-tehran-civil-court"/>
    <w:p>
      <w:pPr>
        <w:pStyle w:val="Heading3"/>
      </w:pPr>
      <w:r>
        <w:t xml:space="preserve">Judge, Tehran Civil Court</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[Year]</w:t>
      </w:r>
    </w:p>
    <w:p>
      <w:pPr>
        <w:numPr>
          <w:ilvl w:val="0"/>
          <w:numId w:val="1002"/>
        </w:numPr>
        <w:pStyle w:val="Compact"/>
      </w:pPr>
      <w:r>
        <w:t xml:space="preserve">Categorized and resolved civil disputes involving family law, property rights, and contractual obligations.</w:t>
      </w:r>
    </w:p>
    <w:p>
      <w:pPr>
        <w:numPr>
          <w:ilvl w:val="0"/>
          <w:numId w:val="1002"/>
        </w:numPr>
        <w:pStyle w:val="Compact"/>
      </w:pPr>
      <w:r>
        <w:t xml:space="preserve">Fostered a transparent judicial process that aligned with the values of justice in Iran Tehran.</w:t>
      </w:r>
    </w:p>
    <w:p>
      <w:pPr>
        <w:numPr>
          <w:ilvl w:val="0"/>
          <w:numId w:val="1002"/>
        </w:numPr>
        <w:pStyle w:val="Compact"/>
      </w:pPr>
      <w:r>
        <w:t xml:space="preserve">Provided guidance to junior judges on procedural efficiency and ethical standards.</w:t>
      </w:r>
    </w:p>
    <w:bookmarkEnd w:id="24"/>
    <w:bookmarkStart w:id="25" w:name="legal-advisor-ministry-of-justice-tehran"/>
    <w:p>
      <w:pPr>
        <w:pStyle w:val="Heading3"/>
      </w:pPr>
      <w:r>
        <w:t xml:space="preserve">Legal Advisor, Ministry of Justice, Tehran</w:t>
      </w:r>
    </w:p>
    <w:p>
      <w:pPr>
        <w:pStyle w:val="FirstParagraph"/>
      </w:pPr>
      <w:r>
        <w:rPr>
          <w:bCs/>
          <w:b/>
        </w:rPr>
        <w:t xml:space="preserve">Start Date:</w:t>
      </w:r>
      <w:r>
        <w:t xml:space="preserve"> </w:t>
      </w:r>
      <w:r>
        <w:t xml:space="preserve">[Year]</w:t>
      </w:r>
    </w:p>
    <w:p>
      <w:pPr>
        <w:pStyle w:val="BodyText"/>
      </w:pPr>
      <w:r>
        <w:rPr>
          <w:bCs/>
          <w:b/>
        </w:rPr>
        <w:t xml:space="preserve">End Date:</w:t>
      </w:r>
      <w:r>
        <w:t xml:space="preserve"> </w:t>
      </w:r>
      <w:r>
        <w:t xml:space="preserve">[Year]</w:t>
      </w:r>
    </w:p>
    <w:p>
      <w:pPr>
        <w:numPr>
          <w:ilvl w:val="0"/>
          <w:numId w:val="1003"/>
        </w:numPr>
        <w:pStyle w:val="Compact"/>
      </w:pPr>
      <w:r>
        <w:t xml:space="preserve">Advised on the implementation of legal reforms and policy development in collaboration with the judiciary.</w:t>
      </w:r>
    </w:p>
    <w:p>
      <w:pPr>
        <w:numPr>
          <w:ilvl w:val="0"/>
          <w:numId w:val="1003"/>
        </w:numPr>
        <w:pStyle w:val="Compact"/>
      </w:pPr>
      <w:r>
        <w:t xml:space="preserve">Promoted a harmonized approach to legal interpretation across Tehran’s courts.</w:t>
      </w:r>
    </w:p>
    <w:bookmarkEnd w:id="25"/>
    <w:bookmarkEnd w:id="26"/>
    <w:bookmarkStart w:id="27" w:name="legal-expertise"/>
    <w:p>
      <w:pPr>
        <w:pStyle w:val="Heading2"/>
      </w:pPr>
      <w:r>
        <w:t xml:space="preserve">Legal Expertise</w:t>
      </w:r>
    </w:p>
    <w:p>
      <w:pPr>
        <w:pStyle w:val="FirstParagraph"/>
      </w:pPr>
      <w:r>
        <w:t xml:space="preserve">The Judge specializes in areas such as:</w:t>
      </w:r>
    </w:p>
    <w:p>
      <w:pPr>
        <w:numPr>
          <w:ilvl w:val="0"/>
          <w:numId w:val="1004"/>
        </w:numPr>
        <w:pStyle w:val="Compact"/>
      </w:pPr>
      <w:r>
        <w:rPr>
          <w:bCs/>
          <w:b/>
        </w:rPr>
        <w:t xml:space="preserve">Islamic Jurisprudence (Fiqh):</w:t>
      </w:r>
      <w:r>
        <w:t xml:space="preserve"> </w:t>
      </w:r>
      <w:r>
        <w:t xml:space="preserve">Deep knowledge of Shia Islamic law, including principles of justice and moral conduct.</w:t>
      </w:r>
    </w:p>
    <w:p>
      <w:pPr>
        <w:numPr>
          <w:ilvl w:val="0"/>
          <w:numId w:val="1004"/>
        </w:numPr>
        <w:pStyle w:val="Compact"/>
      </w:pPr>
      <w:r>
        <w:rPr>
          <w:bCs/>
          <w:b/>
        </w:rPr>
        <w:t xml:space="preserve">Civil Code Interpretation:</w:t>
      </w:r>
      <w:r>
        <w:t xml:space="preserve"> </w:t>
      </w:r>
      <w:r>
        <w:t xml:space="preserve">Expertise in applying the Iranian Civil Code to resolve disputes in Tehran’s legal system.</w:t>
      </w:r>
    </w:p>
    <w:p>
      <w:pPr>
        <w:numPr>
          <w:ilvl w:val="0"/>
          <w:numId w:val="1004"/>
        </w:numPr>
        <w:pStyle w:val="Compact"/>
      </w:pPr>
      <w:r>
        <w:rPr>
          <w:bCs/>
          <w:b/>
        </w:rPr>
        <w:t xml:space="preserve">Criminal Law:</w:t>
      </w:r>
      <w:r>
        <w:t xml:space="preserve"> </w:t>
      </w:r>
      <w:r>
        <w:t xml:space="preserve">Experience in adjudicating cases involving public order, theft, and other offenses under Iran’s penal code.</w:t>
      </w:r>
    </w:p>
    <w:p>
      <w:pPr>
        <w:numPr>
          <w:ilvl w:val="0"/>
          <w:numId w:val="1004"/>
        </w:numPr>
        <w:pStyle w:val="Compact"/>
      </w:pPr>
      <w:r>
        <w:rPr>
          <w:bCs/>
          <w:b/>
        </w:rPr>
        <w:t xml:space="preserve">Judicial Ethics:</w:t>
      </w:r>
      <w:r>
        <w:t xml:space="preserve"> </w:t>
      </w:r>
      <w:r>
        <w:t xml:space="preserve">Adherence to the ethical standards set by the Iranian Judicial Council, ensuring impartiality in all rulings.</w:t>
      </w:r>
    </w:p>
    <w:bookmarkEnd w:id="27"/>
    <w:bookmarkStart w:id="28" w:name="judicial-experience-in-iran-tehran"/>
    <w:p>
      <w:pPr>
        <w:pStyle w:val="Heading2"/>
      </w:pPr>
      <w:r>
        <w:t xml:space="preserve">Judicial Experience in Iran Tehran</w:t>
      </w:r>
    </w:p>
    <w:p>
      <w:pPr>
        <w:pStyle w:val="FirstParagraph"/>
      </w:pPr>
      <w:r>
        <w:t xml:space="preserve">The Judge’s tenure in Tehran has been characterized by a focus on modernizing judicial procedures while respecting the city’s historical and cultural legacy. In Tehran, one of Iran’s most dynamic legal centers, the Judge has contributed to landmark rulings that have shaped legal practices across the country. Their work includes:</w:t>
      </w:r>
    </w:p>
    <w:p>
      <w:pPr>
        <w:numPr>
          <w:ilvl w:val="0"/>
          <w:numId w:val="1005"/>
        </w:numPr>
        <w:pStyle w:val="Compact"/>
      </w:pPr>
      <w:r>
        <w:t xml:space="preserve">Overseeing cases that set precedents for corporate accountability in Tehran’s commercial courts.</w:t>
      </w:r>
    </w:p>
    <w:p>
      <w:pPr>
        <w:numPr>
          <w:ilvl w:val="0"/>
          <w:numId w:val="1005"/>
        </w:numPr>
        <w:pStyle w:val="Compact"/>
      </w:pPr>
      <w:r>
        <w:t xml:space="preserve">Implementing reforms to streamline case resolution processes, reducing delays in judicial proceedings.</w:t>
      </w:r>
    </w:p>
    <w:p>
      <w:pPr>
        <w:numPr>
          <w:ilvl w:val="0"/>
          <w:numId w:val="1005"/>
        </w:numPr>
        <w:pStyle w:val="Compact"/>
      </w:pPr>
      <w:r>
        <w:t xml:space="preserve">Serving on committees that evaluate the performance of judges and legal professionals in Tehran.</w:t>
      </w:r>
    </w:p>
    <w:p>
      <w:pPr>
        <w:pStyle w:val="FirstParagraph"/>
      </w:pPr>
      <w:r>
        <w:t xml:space="preserve">The Judge’s contributions to Iran Tehran’s judiciary have earned recognition for their dedication to justice and their ability to navigate complex legal challenges within the framework of Islamic law.</w:t>
      </w:r>
    </w:p>
    <w:bookmarkEnd w:id="28"/>
    <w:bookmarkStart w:id="29" w:name="additional-skills-and-certifications"/>
    <w:p>
      <w:pPr>
        <w:pStyle w:val="Heading2"/>
      </w:pPr>
      <w:r>
        <w:t xml:space="preserve">Additional Skills and Certifications</w:t>
      </w:r>
    </w:p>
    <w:p>
      <w:pPr>
        <w:numPr>
          <w:ilvl w:val="0"/>
          <w:numId w:val="1006"/>
        </w:numPr>
        <w:pStyle w:val="Compact"/>
      </w:pPr>
      <w:r>
        <w:rPr>
          <w:bCs/>
          <w:b/>
        </w:rPr>
        <w:t xml:space="preserve">Judicial Training:</w:t>
      </w:r>
      <w:r>
        <w:t xml:space="preserve"> </w:t>
      </w:r>
      <w:r>
        <w:t xml:space="preserve">Completed advanced judicial training programs offered by the Iranian Judicial Academy.</w:t>
      </w:r>
    </w:p>
    <w:p>
      <w:pPr>
        <w:numPr>
          <w:ilvl w:val="0"/>
          <w:numId w:val="1006"/>
        </w:numPr>
        <w:pStyle w:val="Compact"/>
      </w:pPr>
      <w:r>
        <w:rPr>
          <w:bCs/>
          <w:b/>
        </w:rPr>
        <w:t xml:space="preserve">Cross-Cultural Communication:</w:t>
      </w:r>
      <w:r>
        <w:t xml:space="preserve"> </w:t>
      </w:r>
      <w:r>
        <w:t xml:space="preserve">Skilled in working with diverse communities in Tehran, ensuring equitable treatment under the law.</w:t>
      </w:r>
    </w:p>
    <w:p>
      <w:pPr>
        <w:numPr>
          <w:ilvl w:val="0"/>
          <w:numId w:val="1006"/>
        </w:numPr>
        <w:pStyle w:val="Compact"/>
      </w:pPr>
      <w:r>
        <w:rPr>
          <w:bCs/>
          <w:b/>
        </w:rPr>
        <w:t xml:space="preserve">Languages:</w:t>
      </w:r>
      <w:r>
        <w:t xml:space="preserve"> </w:t>
      </w:r>
      <w:r>
        <w:t xml:space="preserve">Fluent in Persian (Farsi), Arabic, and English. Proficient in legal terminology across these languages.</w:t>
      </w:r>
    </w:p>
    <w:bookmarkEnd w:id="29"/>
    <w:bookmarkStart w:id="30" w:name="languages-and-cultural-competence"/>
    <w:p>
      <w:pPr>
        <w:pStyle w:val="Heading2"/>
      </w:pPr>
      <w:r>
        <w:t xml:space="preserve">Languages and Cultural Competence</w:t>
      </w:r>
    </w:p>
    <w:p>
      <w:pPr>
        <w:pStyle w:val="FirstParagraph"/>
      </w:pPr>
      <w:r>
        <w:t xml:space="preserve">The Judge’s fluency in Persian, Arabic, and English enables effective communication with a wide range of stakeholders, including international legal bodies and local communities in Tehran. This linguistic skill has been instrumental in fostering collaborations with global judicial networks while maintaining strict adherence to Iran’s legal traditions. Additionally, the Judge possesses a strong understanding of the cultural nuances that influence judicial decisions in Tehran, ensuring that rulings are both legally sound and culturally sensitive.</w:t>
      </w:r>
    </w:p>
    <w:bookmarkEnd w:id="30"/>
    <w:bookmarkStart w:id="31" w:name="publications-and-contributions"/>
    <w:p>
      <w:pPr>
        <w:pStyle w:val="Heading2"/>
      </w:pPr>
      <w:r>
        <w:t xml:space="preserve">Publications and Contributions</w:t>
      </w:r>
    </w:p>
    <w:p>
      <w:pPr>
        <w:numPr>
          <w:ilvl w:val="0"/>
          <w:numId w:val="1007"/>
        </w:numPr>
        <w:pStyle w:val="Compact"/>
      </w:pPr>
      <w:r>
        <w:rPr>
          <w:bCs/>
          <w:b/>
        </w:rPr>
        <w:t xml:space="preserve">Articles:</w:t>
      </w:r>
      <w:r>
        <w:t xml:space="preserve"> </w:t>
      </w:r>
      <w:r>
        <w:t xml:space="preserve">Authored several papers on Islamic law in the context of modern governance, published in reputable journals such as "Tehran Law Review."</w:t>
      </w:r>
    </w:p>
    <w:p>
      <w:pPr>
        <w:numPr>
          <w:ilvl w:val="0"/>
          <w:numId w:val="1007"/>
        </w:numPr>
        <w:pStyle w:val="Compact"/>
      </w:pPr>
      <w:r>
        <w:rPr>
          <w:bCs/>
          <w:b/>
        </w:rPr>
        <w:t xml:space="preserve">Seminars:</w:t>
      </w:r>
      <w:r>
        <w:t xml:space="preserve"> </w:t>
      </w:r>
      <w:r>
        <w:t xml:space="preserve">Regularly participates in legal seminars and workshops organized by the Iranian Judicial Council to share insights on judicial practices.</w:t>
      </w:r>
    </w:p>
    <w:bookmarkEnd w:id="31"/>
    <w:bookmarkStart w:id="32" w:name="references"/>
    <w:p>
      <w:pPr>
        <w:pStyle w:val="Heading2"/>
      </w:pPr>
      <w:r>
        <w:t xml:space="preserve">References</w:t>
      </w:r>
    </w:p>
    <w:p>
      <w:pPr>
        <w:pStyle w:val="FirstParagraph"/>
      </w:pPr>
      <w:r>
        <w:t xml:space="preserve">Available upon request from the Iranian Judicial Council or relevant legal institutions in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in Iran Tehran</dc:title>
  <dc:creator/>
  <dc:language>en</dc:language>
  <cp:keywords/>
  <dcterms:created xsi:type="dcterms:W3CDTF">2026-07-19T22:54:11Z</dcterms:created>
  <dcterms:modified xsi:type="dcterms:W3CDTF">2026-07-19T22:54:11Z</dcterms:modified>
</cp:coreProperties>
</file>

<file path=docProps/custom.xml><?xml version="1.0" encoding="utf-8"?>
<Properties xmlns="http://schemas.openxmlformats.org/officeDocument/2006/custom-properties" xmlns:vt="http://schemas.openxmlformats.org/officeDocument/2006/docPropsVTypes"/>
</file>