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Judge</w:t>
      </w:r>
      <w:r>
        <w:t xml:space="preserve"> </w:t>
      </w:r>
      <w:r>
        <w:t xml:space="preserve">Resume</w:t>
      </w:r>
      <w:r>
        <w:t xml:space="preserve"> </w:t>
      </w:r>
      <w:r>
        <w:t xml:space="preserve">-</w:t>
      </w:r>
      <w:r>
        <w:t xml:space="preserve"> </w:t>
      </w:r>
      <w:r>
        <w:t xml:space="preserve">Malaysia</w:t>
      </w:r>
      <w:r>
        <w:t xml:space="preserve"> </w:t>
      </w:r>
      <w:r>
        <w:t xml:space="preserve">Kuala</w:t>
      </w:r>
      <w:r>
        <w:t xml:space="preserve"> </w:t>
      </w:r>
      <w:r>
        <w:t xml:space="preserve">Lumpur</w:t>
      </w:r>
    </w:p>
    <w:bookmarkStart w:id="32" w:name="judge-full-name"/>
    <w:p>
      <w:pPr>
        <w:pStyle w:val="Heading1"/>
      </w:pPr>
      <w:r>
        <w:t xml:space="preserve">Judge [Full Name]</w:t>
      </w:r>
    </w:p>
    <w:p>
      <w:pPr>
        <w:pStyle w:val="FirstParagraph"/>
      </w:pPr>
      <w:r>
        <w:rPr>
          <w:bCs/>
          <w:b/>
        </w:rPr>
        <w:t xml:space="preserve">Contact Information:</w:t>
      </w:r>
      <w:r>
        <w:br/>
      </w:r>
      <w:r>
        <w:t xml:space="preserve">Address: 123 Jalan Merdeka, Kuala Lumpur, Malaysia</w:t>
      </w:r>
      <w:r>
        <w:br/>
      </w:r>
      <w:r>
        <w:t xml:space="preserve">Phone: +60-3-1234-5678</w:t>
      </w:r>
      <w:r>
        <w:br/>
      </w:r>
      <w:r>
        <w:t xml:space="preserve">Email: judge.name@judiciary.gov.my</w:t>
      </w:r>
    </w:p>
    <w:bookmarkStart w:id="20" w:name="professional-summary"/>
    <w:p>
      <w:pPr>
        <w:pStyle w:val="Heading2"/>
      </w:pPr>
      <w:r>
        <w:t xml:space="preserve">Professional Summary</w:t>
      </w:r>
    </w:p>
    <w:p>
      <w:pPr>
        <w:pStyle w:val="FirstParagraph"/>
      </w:pPr>
      <w:r>
        <w:t xml:space="preserve">A dedicated and experienced Judge with over [X] years of service in the Malaysia Kuala Lumpur judiciary system. Committed to upholding justice, fairness, and the rule of law within Malaysia's legal framework. A proven leader in adjudicating complex civil, criminal, and administrative cases while maintaining the highest ethical standards. Proficient in interpreting Malaysian statutes, constitutional law, and international legal principles applicable to Kuala Lumpur's diverse population. A strong advocate for judicial efficiency and transparency in the Malaysia Kuala Lumpur courts.</w:t>
      </w:r>
    </w:p>
    <w:bookmarkEnd w:id="20"/>
    <w:bookmarkStart w:id="24" w:name="professional-experience"/>
    <w:p>
      <w:pPr>
        <w:pStyle w:val="Heading2"/>
      </w:pPr>
      <w:r>
        <w:t xml:space="preserve">Professional Experience</w:t>
      </w:r>
    </w:p>
    <w:bookmarkStart w:id="21" w:name="Xf1c50048a97c85d854a5e9a03f89ee4752a2d27"/>
    <w:p>
      <w:pPr>
        <w:pStyle w:val="Heading3"/>
      </w:pPr>
      <w:r>
        <w:t xml:space="preserve">Judge, High Court of Malaysia (Kuala Lumpur)</w:t>
      </w:r>
    </w:p>
    <w:p>
      <w:pPr>
        <w:pStyle w:val="FirstParagraph"/>
      </w:pPr>
      <w:r>
        <w:rPr>
          <w:iCs/>
          <w:i/>
        </w:rPr>
        <w:t xml:space="preserve">January 2015 – Present</w:t>
      </w:r>
    </w:p>
    <w:p>
      <w:pPr>
        <w:numPr>
          <w:ilvl w:val="0"/>
          <w:numId w:val="1001"/>
        </w:numPr>
        <w:pStyle w:val="Compact"/>
      </w:pPr>
      <w:r>
        <w:t xml:space="preserve">Adjudicated over [X] complex civil and criminal cases, ensuring compliance with the Malaysian Constitution and relevant statutes.</w:t>
      </w:r>
    </w:p>
    <w:p>
      <w:pPr>
        <w:numPr>
          <w:ilvl w:val="0"/>
          <w:numId w:val="1001"/>
        </w:numPr>
        <w:pStyle w:val="Compact"/>
      </w:pPr>
      <w:r>
        <w:t xml:space="preserve">Provided authoritative rulings on matters involving commercial law, human rights, and public administration within Malaysia Kuala Lumpur.</w:t>
      </w:r>
    </w:p>
    <w:p>
      <w:pPr>
        <w:numPr>
          <w:ilvl w:val="0"/>
          <w:numId w:val="1001"/>
        </w:numPr>
        <w:pStyle w:val="Compact"/>
      </w:pPr>
      <w:r>
        <w:t xml:space="preserve">Supervised court operations to enhance efficiency, reduce case backlogs, and improve accessibility for litigants in Kuala Lumpur.</w:t>
      </w:r>
    </w:p>
    <w:p>
      <w:pPr>
        <w:numPr>
          <w:ilvl w:val="0"/>
          <w:numId w:val="1001"/>
        </w:numPr>
        <w:pStyle w:val="Compact"/>
      </w:pPr>
      <w:r>
        <w:t xml:space="preserve">Collaborated with legal professionals and government agencies to ensure consistent application of laws across Malaysia's judicial system.</w:t>
      </w:r>
    </w:p>
    <w:p>
      <w:pPr>
        <w:numPr>
          <w:ilvl w:val="0"/>
          <w:numId w:val="1001"/>
        </w:numPr>
        <w:pStyle w:val="Compact"/>
      </w:pPr>
      <w:r>
        <w:t xml:space="preserve">Delivered lectures on judicial ethics and procedural fairness at the Malaysian Judicial Academy in Kuala Lumpur.</w:t>
      </w:r>
    </w:p>
    <w:bookmarkEnd w:id="21"/>
    <w:bookmarkStart w:id="22" w:name="judge-session-court-kuala-lumpur"/>
    <w:p>
      <w:pPr>
        <w:pStyle w:val="Heading3"/>
      </w:pPr>
      <w:r>
        <w:t xml:space="preserve">Judge, Session Court (Kuala Lumpur)</w:t>
      </w:r>
    </w:p>
    <w:p>
      <w:pPr>
        <w:pStyle w:val="FirstParagraph"/>
      </w:pPr>
      <w:r>
        <w:rPr>
          <w:iCs/>
          <w:i/>
        </w:rPr>
        <w:t xml:space="preserve">March 2008 – December 2014</w:t>
      </w:r>
    </w:p>
    <w:p>
      <w:pPr>
        <w:numPr>
          <w:ilvl w:val="0"/>
          <w:numId w:val="1002"/>
        </w:numPr>
        <w:pStyle w:val="Compact"/>
      </w:pPr>
      <w:r>
        <w:t xml:space="preserve">Handled a wide range of cases, including petty crimes, small claims, and family disputes in the heart of Malaysia Kuala Lumpur.</w:t>
      </w:r>
    </w:p>
    <w:p>
      <w:pPr>
        <w:numPr>
          <w:ilvl w:val="0"/>
          <w:numId w:val="1002"/>
        </w:numPr>
        <w:pStyle w:val="Compact"/>
      </w:pPr>
      <w:r>
        <w:t xml:space="preserve">Ensured equitable outcomes for diverse communities by applying Malaysian legal principles with cultural sensitivity.</w:t>
      </w:r>
    </w:p>
    <w:p>
      <w:pPr>
        <w:numPr>
          <w:ilvl w:val="0"/>
          <w:numId w:val="1002"/>
        </w:numPr>
        <w:pStyle w:val="Compact"/>
      </w:pPr>
      <w:r>
        <w:t xml:space="preserve">Implemented streamlined procedures to expedite case resolutions while maintaining judicial integrity in Kuala Lumpur's courts.</w:t>
      </w:r>
    </w:p>
    <w:p>
      <w:pPr>
        <w:numPr>
          <w:ilvl w:val="0"/>
          <w:numId w:val="1002"/>
        </w:numPr>
        <w:pStyle w:val="Compact"/>
      </w:pPr>
      <w:r>
        <w:t xml:space="preserve">Mentored junior judges and legal officers, fostering a culture of professionalism and ethical responsibility in Malaysia's judiciary.</w:t>
      </w:r>
    </w:p>
    <w:bookmarkEnd w:id="22"/>
    <w:bookmarkStart w:id="23" w:name="judge-magistrates-court-kuala-lumpur"/>
    <w:p>
      <w:pPr>
        <w:pStyle w:val="Heading3"/>
      </w:pPr>
      <w:r>
        <w:t xml:space="preserve">Judge, Magistrates’ Court (Kuala Lumpur)</w:t>
      </w:r>
    </w:p>
    <w:p>
      <w:pPr>
        <w:pStyle w:val="FirstParagraph"/>
      </w:pPr>
      <w:r>
        <w:rPr>
          <w:iCs/>
          <w:i/>
        </w:rPr>
        <w:t xml:space="preserve">July 2003 – February 2008</w:t>
      </w:r>
    </w:p>
    <w:p>
      <w:pPr>
        <w:numPr>
          <w:ilvl w:val="0"/>
          <w:numId w:val="1003"/>
        </w:numPr>
        <w:pStyle w:val="Compact"/>
      </w:pPr>
      <w:r>
        <w:t xml:space="preserve">Presided over preliminary hearings and resolved minor offenses, emphasizing rehabilitation and community welfare in Malaysia Kuala Lumpur.</w:t>
      </w:r>
    </w:p>
    <w:p>
      <w:pPr>
        <w:numPr>
          <w:ilvl w:val="0"/>
          <w:numId w:val="1003"/>
        </w:numPr>
        <w:pStyle w:val="Compact"/>
      </w:pPr>
      <w:r>
        <w:t xml:space="preserve">Collaborated with law enforcement agencies to ensure adherence to due process and evidence-based rulings.</w:t>
      </w:r>
    </w:p>
    <w:p>
      <w:pPr>
        <w:numPr>
          <w:ilvl w:val="0"/>
          <w:numId w:val="1003"/>
        </w:numPr>
        <w:pStyle w:val="Compact"/>
      </w:pPr>
      <w:r>
        <w:t xml:space="preserve">Promoted public trust in the judiciary by maintaining transparency in court proceedings within Kuala Lumpur's legal framework.</w:t>
      </w:r>
    </w:p>
    <w:bookmarkEnd w:id="23"/>
    <w:bookmarkEnd w:id="24"/>
    <w:bookmarkStart w:id="27" w:name="educational-background"/>
    <w:p>
      <w:pPr>
        <w:pStyle w:val="Heading2"/>
      </w:pPr>
      <w:r>
        <w:t xml:space="preserve">Educational Background</w:t>
      </w:r>
    </w:p>
    <w:bookmarkStart w:id="25" w:name="ll.b.-hons-law"/>
    <w:p>
      <w:pPr>
        <w:pStyle w:val="Heading3"/>
      </w:pPr>
      <w:r>
        <w:t xml:space="preserve">LL.B. (Hons) Law</w:t>
      </w:r>
    </w:p>
    <w:p>
      <w:pPr>
        <w:pStyle w:val="FirstParagraph"/>
      </w:pPr>
      <w:r>
        <w:t xml:space="preserve">University of Malaya, Kuala Lumpur, Malaysia</w:t>
      </w:r>
      <w:r>
        <w:br/>
      </w:r>
      <w:r>
        <w:rPr>
          <w:iCs/>
          <w:i/>
        </w:rPr>
        <w:t xml:space="preserve">Graduated: 2000</w:t>
      </w:r>
    </w:p>
    <w:p>
      <w:pPr>
        <w:numPr>
          <w:ilvl w:val="0"/>
          <w:numId w:val="1004"/>
        </w:numPr>
        <w:pStyle w:val="Compact"/>
      </w:pPr>
      <w:r>
        <w:t xml:space="preserve">Specialized in Malaysian constitutional law and criminal jurisprudence.</w:t>
      </w:r>
    </w:p>
    <w:p>
      <w:pPr>
        <w:numPr>
          <w:ilvl w:val="0"/>
          <w:numId w:val="1004"/>
        </w:numPr>
        <w:pStyle w:val="Compact"/>
      </w:pPr>
      <w:r>
        <w:t xml:space="preserve">Recipient of the Dean’s List Award for academic excellence.</w:t>
      </w:r>
    </w:p>
    <w:bookmarkEnd w:id="25"/>
    <w:bookmarkStart w:id="26" w:name="lpc-legal-practice-course"/>
    <w:p>
      <w:pPr>
        <w:pStyle w:val="Heading3"/>
      </w:pPr>
      <w:r>
        <w:t xml:space="preserve">LPC (Legal Practice Course)</w:t>
      </w:r>
    </w:p>
    <w:p>
      <w:pPr>
        <w:pStyle w:val="FirstParagraph"/>
      </w:pPr>
      <w:r>
        <w:t xml:space="preserve">School of Legal Studies, Kuala Lumpur, Malaysia</w:t>
      </w:r>
      <w:r>
        <w:br/>
      </w:r>
      <w:r>
        <w:rPr>
          <w:iCs/>
          <w:i/>
        </w:rPr>
        <w:t xml:space="preserve">Completed: 2001</w:t>
      </w:r>
    </w:p>
    <w:bookmarkEnd w:id="26"/>
    <w:bookmarkEnd w:id="27"/>
    <w:bookmarkStart w:id="28" w:name="key-skills"/>
    <w:p>
      <w:pPr>
        <w:pStyle w:val="Heading2"/>
      </w:pPr>
      <w:r>
        <w:t xml:space="preserve">Key Skills</w:t>
      </w:r>
    </w:p>
    <w:p>
      <w:pPr>
        <w:numPr>
          <w:ilvl w:val="0"/>
          <w:numId w:val="1005"/>
        </w:numPr>
        <w:pStyle w:val="Compact"/>
      </w:pPr>
      <w:r>
        <w:rPr>
          <w:bCs/>
          <w:b/>
        </w:rPr>
        <w:t xml:space="preserve">Judicial Decision-Making:</w:t>
      </w:r>
      <w:r>
        <w:t xml:space="preserve"> </w:t>
      </w:r>
      <w:r>
        <w:t xml:space="preserve">Expertise in interpreting Malaysian statutes, including the Constitution of Malaysia and the Evidence Act 1950.</w:t>
      </w:r>
    </w:p>
    <w:p>
      <w:pPr>
        <w:numPr>
          <w:ilvl w:val="0"/>
          <w:numId w:val="1005"/>
        </w:numPr>
        <w:pStyle w:val="Compact"/>
      </w:pPr>
      <w:r>
        <w:rPr>
          <w:bCs/>
          <w:b/>
        </w:rPr>
        <w:t xml:space="preserve">Courtroom Leadership:</w:t>
      </w:r>
      <w:r>
        <w:t xml:space="preserve"> </w:t>
      </w:r>
      <w:r>
        <w:t xml:space="preserve">Proven ability to manage court proceedings efficiently in Malaysia Kuala Lumpur’s judicial system.</w:t>
      </w:r>
    </w:p>
    <w:p>
      <w:pPr>
        <w:numPr>
          <w:ilvl w:val="0"/>
          <w:numId w:val="1005"/>
        </w:numPr>
        <w:pStyle w:val="Compact"/>
      </w:pPr>
      <w:r>
        <w:rPr>
          <w:bCs/>
          <w:b/>
        </w:rPr>
        <w:t xml:space="preserve">Languages:</w:t>
      </w:r>
      <w:r>
        <w:t xml:space="preserve"> </w:t>
      </w:r>
      <w:r>
        <w:t xml:space="preserve">Fluent in Malay, English, and basic Mandarin (for communication with KL's multicultural communities).</w:t>
      </w:r>
    </w:p>
    <w:p>
      <w:pPr>
        <w:numPr>
          <w:ilvl w:val="0"/>
          <w:numId w:val="1005"/>
        </w:numPr>
        <w:pStyle w:val="Compact"/>
      </w:pPr>
      <w:r>
        <w:rPr>
          <w:bCs/>
          <w:b/>
        </w:rPr>
        <w:t xml:space="preserve">Ethical Integrity:</w:t>
      </w:r>
      <w:r>
        <w:t xml:space="preserve"> </w:t>
      </w:r>
      <w:r>
        <w:t xml:space="preserve">Adherence to the Malaysian Judicial Code of Conduct and commitment to impartiality.</w:t>
      </w:r>
    </w:p>
    <w:p>
      <w:pPr>
        <w:numPr>
          <w:ilvl w:val="0"/>
          <w:numId w:val="1005"/>
        </w:numPr>
        <w:pStyle w:val="Compact"/>
      </w:pPr>
      <w:r>
        <w:rPr>
          <w:bCs/>
          <w:b/>
        </w:rPr>
        <w:t xml:space="preserve">Legal Research:</w:t>
      </w:r>
      <w:r>
        <w:t xml:space="preserve"> </w:t>
      </w:r>
      <w:r>
        <w:t xml:space="preserve">Proficient in analyzing case law and legislative updates relevant to Malaysia’s legal landscape.</w:t>
      </w:r>
    </w:p>
    <w:bookmarkEnd w:id="28"/>
    <w:bookmarkStart w:id="29" w:name="certifications-memberships"/>
    <w:p>
      <w:pPr>
        <w:pStyle w:val="Heading2"/>
      </w:pPr>
      <w:r>
        <w:t xml:space="preserve">Certifications &amp; Memberships</w:t>
      </w:r>
    </w:p>
    <w:p>
      <w:pPr>
        <w:numPr>
          <w:ilvl w:val="0"/>
          <w:numId w:val="1006"/>
        </w:numPr>
        <w:pStyle w:val="Compact"/>
      </w:pPr>
      <w:r>
        <w:rPr>
          <w:bCs/>
          <w:b/>
        </w:rPr>
        <w:t xml:space="preserve">Malaysian Bar Council</w:t>
      </w:r>
      <w:r>
        <w:t xml:space="preserve"> </w:t>
      </w:r>
      <w:r>
        <w:t xml:space="preserve">– Member since 2001.</w:t>
      </w:r>
    </w:p>
    <w:p>
      <w:pPr>
        <w:numPr>
          <w:ilvl w:val="0"/>
          <w:numId w:val="1006"/>
        </w:numPr>
        <w:pStyle w:val="Compact"/>
      </w:pPr>
      <w:r>
        <w:rPr>
          <w:bCs/>
          <w:b/>
        </w:rPr>
        <w:t xml:space="preserve">Malaysian Judicial Academy</w:t>
      </w:r>
      <w:r>
        <w:t xml:space="preserve"> </w:t>
      </w:r>
      <w:r>
        <w:t xml:space="preserve">– Completed advanced training in judicial ethics and case management (2013).</w:t>
      </w:r>
    </w:p>
    <w:p>
      <w:pPr>
        <w:numPr>
          <w:ilvl w:val="0"/>
          <w:numId w:val="1006"/>
        </w:numPr>
        <w:pStyle w:val="Compact"/>
      </w:pPr>
      <w:r>
        <w:rPr>
          <w:bCs/>
          <w:b/>
        </w:rPr>
        <w:t xml:space="preserve">International Association of Judicial Independence and World Peace</w:t>
      </w:r>
      <w:r>
        <w:t xml:space="preserve"> </w:t>
      </w:r>
      <w:r>
        <w:t xml:space="preserve">– Affiliate member since 2017.</w:t>
      </w:r>
    </w:p>
    <w:bookmarkEnd w:id="29"/>
    <w:bookmarkStart w:id="30" w:name="publications-speeches"/>
    <w:p>
      <w:pPr>
        <w:pStyle w:val="Heading2"/>
      </w:pPr>
      <w:r>
        <w:t xml:space="preserve">Publications &amp; Speeches</w:t>
      </w:r>
    </w:p>
    <w:p>
      <w:pPr>
        <w:numPr>
          <w:ilvl w:val="0"/>
          <w:numId w:val="1007"/>
        </w:numPr>
        <w:pStyle w:val="Compact"/>
      </w:pPr>
      <w:r>
        <w:rPr>
          <w:iCs/>
          <w:i/>
        </w:rPr>
        <w:t xml:space="preserve">"The Role of Judiciary in Upholding Democracy in Malaysia Kuala Lumpur"</w:t>
      </w:r>
      <w:r>
        <w:t xml:space="preserve"> </w:t>
      </w:r>
      <w:r>
        <w:t xml:space="preserve">– Published in the Malaysian Law Journal, 2018.</w:t>
      </w:r>
    </w:p>
    <w:p>
      <w:pPr>
        <w:numPr>
          <w:ilvl w:val="0"/>
          <w:numId w:val="1007"/>
        </w:numPr>
        <w:pStyle w:val="Compact"/>
      </w:pPr>
      <w:r>
        <w:t xml:space="preserve">Keynote speaker at the Annual Judicial Conference on Legal Reforms in Southeast Asia (Kuala Lumpur, 2021).</w:t>
      </w:r>
    </w:p>
    <w:bookmarkEnd w:id="30"/>
    <w:bookmarkStart w:id="31" w:name="references"/>
    <w:p>
      <w:pPr>
        <w:pStyle w:val="Heading2"/>
      </w:pPr>
      <w:r>
        <w:t xml:space="preserve">References</w:t>
      </w:r>
    </w:p>
    <w:p>
      <w:pPr>
        <w:pStyle w:val="FirstParagraph"/>
      </w:pPr>
      <w:r>
        <w:t xml:space="preserve">Available upon request. Contact: [Judge’s Name], High Court of Malaysia, Kuala Lumpur.</w:t>
      </w:r>
    </w:p>
    <w:p>
      <w:pPr>
        <w:pStyle w:val="BodyText"/>
      </w:pPr>
      <w:r>
        <w:t xml:space="preserve">© 2023 Judge [Full Name]. All rights reserved.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Judge Resume - Malaysia Kuala Lumpur</dc:title>
  <dc:creator/>
  <dc:language>en</dc:language>
  <cp:keywords/>
  <dcterms:created xsi:type="dcterms:W3CDTF">2026-07-21T08:23:35Z</dcterms:created>
  <dcterms:modified xsi:type="dcterms:W3CDTF">2026-07-21T08:23:35Z</dcterms:modified>
</cp:coreProperties>
</file>

<file path=docProps/custom.xml><?xml version="1.0" encoding="utf-8"?>
<Properties xmlns="http://schemas.openxmlformats.org/officeDocument/2006/custom-properties" xmlns:vt="http://schemas.openxmlformats.org/officeDocument/2006/docPropsVTypes"/>
</file>