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judge-in-saudi-arabia-jeddah"/>
    <w:p>
      <w:pPr>
        <w:pStyle w:val="Heading1"/>
      </w:pPr>
      <w:r>
        <w:t xml:space="preserve">Resume: Judge in Saudi Arabia Jeddah</w:t>
      </w:r>
    </w:p>
    <w:bookmarkStart w:id="20" w:name="professional-summary"/>
    <w:p>
      <w:pPr>
        <w:pStyle w:val="Heading2"/>
      </w:pPr>
      <w:r>
        <w:t xml:space="preserve">Professional Summary</w:t>
      </w:r>
    </w:p>
    <w:p>
      <w:pPr>
        <w:pStyle w:val="FirstParagraph"/>
      </w:pPr>
      <w:r>
        <w:t xml:space="preserve">A dedicated and experienced judge with over 15 years of expertise in the legal system of Saudi Arabia, specializing in Islamic law (Sharia) and civil jurisprudence. A graduate of the prestigious King Abdulaziz University Law Faculty, I have served as a judicial officer in Jeddah, a city renowned for its historical significance and modern legal infrastructure. My career reflects a deep commitment to upholding justice, equity, and the principles of Sharia law within the framework of Saudi Arabia's evolving legal landscape. With extensive experience adjudicating cases ranging from civil disputes to criminal matters, I have consistently demonstrated integrity, impartiality, and a profound understanding of the cultural and legal nuances specific to Jeddah and the broader Kingdom.</w:t>
      </w:r>
    </w:p>
    <w:bookmarkEnd w:id="20"/>
    <w:bookmarkStart w:id="23" w:name="professional-experience"/>
    <w:p>
      <w:pPr>
        <w:pStyle w:val="Heading2"/>
      </w:pPr>
      <w:r>
        <w:t xml:space="preserve">Professional Experience</w:t>
      </w:r>
    </w:p>
    <w:bookmarkStart w:id="21" w:name="judge-jeddah-court-of-first-instance"/>
    <w:p>
      <w:pPr>
        <w:pStyle w:val="Heading3"/>
      </w:pPr>
      <w:r>
        <w:t xml:space="preserve">Judge, Jeddah Court of First Instance</w:t>
      </w:r>
    </w:p>
    <w:p>
      <w:pPr>
        <w:pStyle w:val="FirstParagraph"/>
      </w:pPr>
      <w:r>
        <w:rPr>
          <w:bCs/>
          <w:b/>
        </w:rPr>
        <w:t xml:space="preserve">June 2010 – Present</w:t>
      </w:r>
    </w:p>
    <w:p>
      <w:pPr>
        <w:numPr>
          <w:ilvl w:val="0"/>
          <w:numId w:val="1001"/>
        </w:numPr>
        <w:pStyle w:val="Compact"/>
      </w:pPr>
      <w:r>
        <w:t xml:space="preserve">Adjudicate over 1,500 civil and criminal cases annually in Jeddah, ensuring compliance with Saudi Arabia’s legal codes and Islamic principles.</w:t>
      </w:r>
    </w:p>
    <w:p>
      <w:pPr>
        <w:numPr>
          <w:ilvl w:val="0"/>
          <w:numId w:val="1001"/>
        </w:numPr>
        <w:pStyle w:val="Compact"/>
      </w:pPr>
      <w:r>
        <w:t xml:space="preserve">Preside over high-profile cases involving commercial disputes, family law matters, and criminal offenses under the Kingdom's Unified Judiciary system.</w:t>
      </w:r>
    </w:p>
    <w:p>
      <w:pPr>
        <w:numPr>
          <w:ilvl w:val="0"/>
          <w:numId w:val="1001"/>
        </w:numPr>
        <w:pStyle w:val="Compact"/>
      </w:pPr>
      <w:r>
        <w:t xml:space="preserve">Collaborate with fellow judges and legal experts to maintain consistency in rulings, fostering public trust in the judicial process of Jeddah.</w:t>
      </w:r>
    </w:p>
    <w:p>
      <w:pPr>
        <w:numPr>
          <w:ilvl w:val="0"/>
          <w:numId w:val="1001"/>
        </w:numPr>
        <w:pStyle w:val="Compact"/>
      </w:pPr>
      <w:r>
        <w:t xml:space="preserve">Provide legal guidance to local government bodies on matters requiring judicial interpretation of Sharia law, particularly in Jeddah’s diverse urban environment.</w:t>
      </w:r>
    </w:p>
    <w:p>
      <w:pPr>
        <w:numPr>
          <w:ilvl w:val="0"/>
          <w:numId w:val="1001"/>
        </w:numPr>
        <w:pStyle w:val="Compact"/>
      </w:pPr>
      <w:r>
        <w:t xml:space="preserve">Participate in training programs for aspiring judges and legal professionals across Saudi Arabia, emphasizing the importance of ethical standards and cultural sensitivity in Jeddah’s legal community.</w:t>
      </w:r>
    </w:p>
    <w:bookmarkEnd w:id="21"/>
    <w:bookmarkStart w:id="22" w:name="X61242322402266258b4c997477888633407e332"/>
    <w:p>
      <w:pPr>
        <w:pStyle w:val="Heading3"/>
      </w:pPr>
      <w:r>
        <w:t xml:space="preserve">Judicial Officer, Riyadh High Court (Prior Role)</w:t>
      </w:r>
    </w:p>
    <w:p>
      <w:pPr>
        <w:pStyle w:val="FirstParagraph"/>
      </w:pPr>
      <w:r>
        <w:rPr>
          <w:bCs/>
          <w:b/>
        </w:rPr>
        <w:t xml:space="preserve">July 2005 – May 2010</w:t>
      </w:r>
    </w:p>
    <w:p>
      <w:pPr>
        <w:numPr>
          <w:ilvl w:val="0"/>
          <w:numId w:val="1002"/>
        </w:numPr>
        <w:pStyle w:val="Compact"/>
      </w:pPr>
      <w:r>
        <w:t xml:space="preserve">Handled complex cases involving international commercial law and cross-border disputes, leveraging my expertise in both Sharia and civil legal frameworks.</w:t>
      </w:r>
    </w:p>
    <w:p>
      <w:pPr>
        <w:numPr>
          <w:ilvl w:val="0"/>
          <w:numId w:val="1002"/>
        </w:numPr>
        <w:pStyle w:val="Compact"/>
      </w:pPr>
      <w:r>
        <w:t xml:space="preserve">Contributed to the development of procedural guidelines for judicial efficiency, which were later adopted by courts in Jeddah and other major cities.</w:t>
      </w:r>
    </w:p>
    <w:p>
      <w:pPr>
        <w:numPr>
          <w:ilvl w:val="0"/>
          <w:numId w:val="1002"/>
        </w:numPr>
        <w:pStyle w:val="Compact"/>
      </w:pPr>
      <w:r>
        <w:t xml:space="preserve">Engaged with the Saudi Judicial Council to advocate for reforms that align with Vision 2030, focusing on digitizing court procedures and improving access to justice in Jeddah.</w:t>
      </w:r>
    </w:p>
    <w:bookmarkEnd w:id="22"/>
    <w:bookmarkEnd w:id="23"/>
    <w:bookmarkStart w:id="26" w:name="education"/>
    <w:p>
      <w:pPr>
        <w:pStyle w:val="Heading2"/>
      </w:pPr>
      <w:r>
        <w:t xml:space="preserve">Education</w:t>
      </w:r>
    </w:p>
    <w:bookmarkStart w:id="24" w:name="ll.b.-in-law-king-abdulaziz-university"/>
    <w:p>
      <w:pPr>
        <w:pStyle w:val="Heading3"/>
      </w:pPr>
      <w:r>
        <w:t xml:space="preserve">LL.B. in Law, King Abdulaziz University</w:t>
      </w:r>
    </w:p>
    <w:p>
      <w:pPr>
        <w:pStyle w:val="FirstParagraph"/>
      </w:pPr>
      <w:r>
        <w:rPr>
          <w:bCs/>
          <w:b/>
        </w:rPr>
        <w:t xml:space="preserve">Graduated: 2001</w:t>
      </w:r>
    </w:p>
    <w:p>
      <w:pPr>
        <w:numPr>
          <w:ilvl w:val="0"/>
          <w:numId w:val="1003"/>
        </w:numPr>
        <w:pStyle w:val="Compact"/>
      </w:pPr>
      <w:r>
        <w:t xml:space="preserve">Focused on Islamic jurisprudence (Fiqh), constitutional law, and administrative law, with a thesis on "The Role of Sharia in Modern Judicial Systems."</w:t>
      </w:r>
    </w:p>
    <w:p>
      <w:pPr>
        <w:numPr>
          <w:ilvl w:val="0"/>
          <w:numId w:val="1003"/>
        </w:numPr>
        <w:pStyle w:val="Compact"/>
      </w:pPr>
      <w:r>
        <w:t xml:space="preserve">Participated in internships at the Jeddah Court of First Instance, gaining firsthand experience in judicial procedures specific to Saudi Arabia.</w:t>
      </w:r>
    </w:p>
    <w:bookmarkEnd w:id="24"/>
    <w:bookmarkStart w:id="25" w:name="X3939db78f84930707692ba127bb491bcd800abb"/>
    <w:p>
      <w:pPr>
        <w:pStyle w:val="Heading3"/>
      </w:pPr>
      <w:r>
        <w:t xml:space="preserve">L.L.M. in Islamic Law, International Islamic University Malaysia</w:t>
      </w:r>
    </w:p>
    <w:p>
      <w:pPr>
        <w:pStyle w:val="FirstParagraph"/>
      </w:pPr>
      <w:r>
        <w:rPr>
          <w:bCs/>
          <w:b/>
        </w:rPr>
        <w:t xml:space="preserve">Graduated: 2004</w:t>
      </w:r>
    </w:p>
    <w:p>
      <w:pPr>
        <w:numPr>
          <w:ilvl w:val="0"/>
          <w:numId w:val="1004"/>
        </w:numPr>
        <w:pStyle w:val="Compact"/>
      </w:pPr>
      <w:r>
        <w:t xml:space="preserve">Explored comparative legal systems, emphasizing the integration of Sharia law with international human rights standards.</w:t>
      </w:r>
    </w:p>
    <w:p>
      <w:pPr>
        <w:numPr>
          <w:ilvl w:val="0"/>
          <w:numId w:val="1004"/>
        </w:numPr>
        <w:pStyle w:val="Compact"/>
      </w:pPr>
      <w:r>
        <w:t xml:space="preserve">Conducted research on judicial reforms in Gulf Cooperation Council (GCC) nations, including Saudi Arabia’s Jeddah.</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Certificate of Judicial Training, Saudi Judicial Council (2009)</w:t>
      </w:r>
    </w:p>
    <w:p>
      <w:pPr>
        <w:numPr>
          <w:ilvl w:val="0"/>
          <w:numId w:val="1005"/>
        </w:numPr>
        <w:pStyle w:val="Compact"/>
      </w:pPr>
      <w:r>
        <w:t xml:space="preserve">Membership in the Saudi Bar Association, with a focus on Sharia-compliant legal practices.</w:t>
      </w:r>
    </w:p>
    <w:p>
      <w:pPr>
        <w:numPr>
          <w:ilvl w:val="0"/>
          <w:numId w:val="1005"/>
        </w:numPr>
        <w:pStyle w:val="Compact"/>
      </w:pPr>
      <w:r>
        <w:t xml:space="preserve">Advanced certification in Mediation and Conflict Resolution, endorsed by the Jeddah Legal Ethics Committee.</w:t>
      </w:r>
    </w:p>
    <w:bookmarkEnd w:id="27"/>
    <w:bookmarkStart w:id="28" w:name="skills-competencies"/>
    <w:p>
      <w:pPr>
        <w:pStyle w:val="Heading2"/>
      </w:pPr>
      <w:r>
        <w:t xml:space="preserve">Skills &amp; Competencies</w:t>
      </w:r>
    </w:p>
    <w:p>
      <w:pPr>
        <w:numPr>
          <w:ilvl w:val="0"/>
          <w:numId w:val="1006"/>
        </w:numPr>
        <w:pStyle w:val="Compact"/>
      </w:pPr>
      <w:r>
        <w:rPr>
          <w:bCs/>
          <w:b/>
        </w:rPr>
        <w:t xml:space="preserve">Judicial Expertise:</w:t>
      </w:r>
      <w:r>
        <w:t xml:space="preserve"> </w:t>
      </w:r>
      <w:r>
        <w:t xml:space="preserve">Proficient in interpreting Sharia law, civil law, and administrative regulations specific to Saudi Arabia.</w:t>
      </w:r>
    </w:p>
    <w:p>
      <w:pPr>
        <w:numPr>
          <w:ilvl w:val="0"/>
          <w:numId w:val="1006"/>
        </w:numPr>
        <w:pStyle w:val="Compact"/>
      </w:pPr>
      <w:r>
        <w:rPr>
          <w:bCs/>
          <w:b/>
        </w:rPr>
        <w:t xml:space="preserve">Cultural Competence:</w:t>
      </w:r>
      <w:r>
        <w:t xml:space="preserve"> </w:t>
      </w:r>
      <w:r>
        <w:t xml:space="preserve">Deep understanding of Jeddah’s cultural dynamics, including its historical significance as a gateway to Mecca and its role as a cosmopolitan hub.</w:t>
      </w:r>
    </w:p>
    <w:p>
      <w:pPr>
        <w:numPr>
          <w:ilvl w:val="0"/>
          <w:numId w:val="1006"/>
        </w:numPr>
        <w:pStyle w:val="Compact"/>
      </w:pPr>
      <w:r>
        <w:rPr>
          <w:bCs/>
          <w:b/>
        </w:rPr>
        <w:t xml:space="preserve">Languages:</w:t>
      </w:r>
      <w:r>
        <w:t xml:space="preserve"> </w:t>
      </w:r>
      <w:r>
        <w:t xml:space="preserve">Fluent in Arabic (native), proficient in English for international legal correspondence and collaboration with global judicial bodies.</w:t>
      </w:r>
    </w:p>
    <w:p>
      <w:pPr>
        <w:numPr>
          <w:ilvl w:val="0"/>
          <w:numId w:val="1006"/>
        </w:numPr>
        <w:pStyle w:val="Compact"/>
      </w:pPr>
      <w:r>
        <w:rPr>
          <w:bCs/>
          <w:b/>
        </w:rPr>
        <w:t xml:space="preserve">Legal Technology:</w:t>
      </w:r>
      <w:r>
        <w:t xml:space="preserve"> </w:t>
      </w:r>
      <w:r>
        <w:t xml:space="preserve">Skilled in using digital court management systems, including the Saudi e-Courts platform, to streamline case processing and enhance transparency.</w:t>
      </w:r>
    </w:p>
    <w:p>
      <w:pPr>
        <w:numPr>
          <w:ilvl w:val="0"/>
          <w:numId w:val="1006"/>
        </w:numPr>
        <w:pStyle w:val="Compact"/>
      </w:pPr>
      <w:r>
        <w:rPr>
          <w:bCs/>
          <w:b/>
        </w:rPr>
        <w:t xml:space="preserve">Leadership:</w:t>
      </w:r>
      <w:r>
        <w:t xml:space="preserve"> </w:t>
      </w:r>
      <w:r>
        <w:t xml:space="preserve">Experience leading judicial teams and mentoring junior judges in Jeddah’s legal institutions.</w:t>
      </w:r>
    </w:p>
    <w:bookmarkEnd w:id="28"/>
    <w:bookmarkStart w:id="29" w:name="languages-cultural-competence"/>
    <w:p>
      <w:pPr>
        <w:pStyle w:val="Heading2"/>
      </w:pPr>
      <w:r>
        <w:t xml:space="preserve">Languages &amp; Cultural Competence</w:t>
      </w:r>
    </w:p>
    <w:p>
      <w:pPr>
        <w:pStyle w:val="FirstParagraph"/>
      </w:pPr>
      <w:r>
        <w:t xml:space="preserve">Fluent in Arabic, the primary language of Saudi Arabia Jeddah, and proficient in English. Demonstrated ability to bridge cultural gaps through interactions with expatriate legal professionals and international clients in Jeddah’s vibrant legal ecosystem. Familiar with local customs, traditions, and the importance of maintaining judicial neutrality while respecting the values of the Kingdom.</w:t>
      </w:r>
    </w:p>
    <w:bookmarkEnd w:id="29"/>
    <w:bookmarkStart w:id="30" w:name="community-involvement-leadership"/>
    <w:p>
      <w:pPr>
        <w:pStyle w:val="Heading2"/>
      </w:pPr>
      <w:r>
        <w:t xml:space="preserve">Community Involvement &amp; Leadership</w:t>
      </w:r>
    </w:p>
    <w:p>
      <w:pPr>
        <w:numPr>
          <w:ilvl w:val="0"/>
          <w:numId w:val="1007"/>
        </w:numPr>
        <w:pStyle w:val="Compact"/>
      </w:pPr>
      <w:r>
        <w:t xml:space="preserve">Served on the Jeddah Legal Ethics Committee, contributing to policy discussions on judicial integrity and accountability.</w:t>
      </w:r>
    </w:p>
    <w:p>
      <w:pPr>
        <w:numPr>
          <w:ilvl w:val="0"/>
          <w:numId w:val="1007"/>
        </w:numPr>
        <w:pStyle w:val="Compact"/>
      </w:pPr>
      <w:r>
        <w:t xml:space="preserve">Organized public seminars in Jeddah on "The Role of Sharia Law in Modern Society," attracting participants from academia, legal professionals, and the general public.</w:t>
      </w:r>
    </w:p>
    <w:p>
      <w:pPr>
        <w:numPr>
          <w:ilvl w:val="0"/>
          <w:numId w:val="1007"/>
        </w:numPr>
        <w:pStyle w:val="Compact"/>
      </w:pPr>
      <w:r>
        <w:t xml:space="preserve">Volunteered with the Saudi Red Crescent Association to provide legal guidance on humanitarian issues, reflecting a commitment to social justice in Jeddah.</w:t>
      </w:r>
    </w:p>
    <w:bookmarkEnd w:id="30"/>
    <w:bookmarkStart w:id="31" w:name="references"/>
    <w:p>
      <w:pPr>
        <w:pStyle w:val="Heading2"/>
      </w:pPr>
      <w:r>
        <w:t xml:space="preserve">References</w:t>
      </w:r>
    </w:p>
    <w:p>
      <w:pPr>
        <w:pStyle w:val="FirstParagraph"/>
      </w:pPr>
      <w:r>
        <w:t xml:space="preserve">Available upon request. References include senior judges from the Saudi Judicial Council, legal scholars from King Abdulaziz University, and officials from Jeddah’s municipal court system.</w:t>
      </w:r>
    </w:p>
    <w:bookmarkEnd w:id="31"/>
    <w:p>
      <w:pPr>
        <w:pStyle w:val="BodyText"/>
      </w:pPr>
      <w:r>
        <w:rPr>
          <w:bCs/>
          <w:b/>
        </w:rPr>
        <w:t xml:space="preserve">Contact Information:</w:t>
      </w:r>
      <w:r>
        <w:t xml:space="preserve"> </w:t>
      </w:r>
      <w:r>
        <w:t xml:space="preserve">[Your Name], [Phone Number], [Email Address], Jeddah, Saudi Arabia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Judge in Saudi Arabia Jeddah</dc:title>
  <dc:creator/>
  <cp:keywords/>
  <dcterms:created xsi:type="dcterms:W3CDTF">2026-07-21T02:36:08Z</dcterms:created>
  <dcterms:modified xsi:type="dcterms:W3CDTF">2026-07-21T02:36:08Z</dcterms:modified>
</cp:coreProperties>
</file>

<file path=docProps/custom.xml><?xml version="1.0" encoding="utf-8"?>
<Properties xmlns="http://schemas.openxmlformats.org/officeDocument/2006/custom-properties" xmlns:vt="http://schemas.openxmlformats.org/officeDocument/2006/docPropsVTypes"/>
</file>