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Judge</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34" w:name="X2f2b934447fa5e9df1601de90c94370d0bccdd5"/>
    <w:p>
      <w:pPr>
        <w:pStyle w:val="Heading1"/>
      </w:pPr>
      <w:r>
        <w:t xml:space="preserve">Resume for a Judge in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+966 55 123 4567</w:t>
      </w:r>
    </w:p>
    <w:p>
      <w:pPr>
        <w:pStyle w:val="BodyText"/>
      </w:pPr>
      <w:r>
        <w:rPr>
          <w:bCs/>
          <w:b/>
        </w:rPr>
        <w:t xml:space="preserve">Email:</w:t>
      </w:r>
      <w:r>
        <w:t xml:space="preserve"> </w:t>
      </w:r>
      <w:r>
        <w:t xml:space="preserve">[your.email@domain.com]</w:t>
      </w:r>
    </w:p>
    <w:p>
      <w:pPr>
        <w:pStyle w:val="BodyText"/>
      </w:pP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qualified and experienced Judge with over 15 years of service in the judicial system of Saudi Arabia, specializing in Islamic law (Sharia) and civil litigation. Dedicated to upholding justice, fairness, and the principles of Sharia as outlined in the Qur’an and Sunnah. Proven expertise in resolving complex legal disputes while adhering to Saudi Arabia's evolving legal framework. Committed to fostering public trust in the judiciary through transparency, integrity, and ethical decision-making. Currently based in Riyadh, where I contribute to shaping the judicial landscape of one of Saudi Arabia’s most dynamic cities.</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King Saud University, Riyadh, Saudi Arabia – 2008</w:t>
      </w:r>
    </w:p>
    <w:p>
      <w:pPr>
        <w:numPr>
          <w:ilvl w:val="0"/>
          <w:numId w:val="1001"/>
        </w:numPr>
        <w:pStyle w:val="Compact"/>
      </w:pPr>
      <w:r>
        <w:rPr>
          <w:bCs/>
          <w:b/>
        </w:rPr>
        <w:t xml:space="preserve">Master of Laws (LL.M.) in Islamic Jurisprudence</w:t>
      </w:r>
      <w:r>
        <w:t xml:space="preserve">, Islamic University of Madinah, Saudi Arabia – 2011</w:t>
      </w:r>
    </w:p>
    <w:p>
      <w:pPr>
        <w:numPr>
          <w:ilvl w:val="0"/>
          <w:numId w:val="1001"/>
        </w:numPr>
        <w:pStyle w:val="Compact"/>
      </w:pPr>
      <w:r>
        <w:rPr>
          <w:bCs/>
          <w:b/>
        </w:rPr>
        <w:t xml:space="preserve">Doctorate in Legal Studies</w:t>
      </w:r>
      <w:r>
        <w:t xml:space="preserve">, University of Riyadh, Saudi Arabia – 2015</w:t>
      </w:r>
    </w:p>
    <w:bookmarkEnd w:id="22"/>
    <w:bookmarkStart w:id="27" w:name="professional-experience"/>
    <w:p>
      <w:pPr>
        <w:pStyle w:val="Heading2"/>
      </w:pPr>
      <w:r>
        <w:t xml:space="preserve">Professional Experience</w:t>
      </w:r>
    </w:p>
    <w:bookmarkStart w:id="23" w:name="X70014067f1ed8a7d3f51f4e24394b8380d645e4"/>
    <w:p>
      <w:pPr>
        <w:pStyle w:val="Heading3"/>
      </w:pPr>
      <w:r>
        <w:t xml:space="preserve">Judge, Riyadh Regional Court (Civil and Criminal Division)</w:t>
      </w:r>
    </w:p>
    <w:p>
      <w:pPr>
        <w:pStyle w:val="FirstParagraph"/>
      </w:pPr>
      <w:r>
        <w:rPr>
          <w:iCs/>
          <w:i/>
        </w:rPr>
        <w:t xml:space="preserve">January 2018 – Present</w:t>
      </w:r>
    </w:p>
    <w:p>
      <w:pPr>
        <w:numPr>
          <w:ilvl w:val="0"/>
          <w:numId w:val="1002"/>
        </w:numPr>
        <w:pStyle w:val="Compact"/>
      </w:pPr>
      <w:r>
        <w:t xml:space="preserve">Preside over civil and criminal cases, ensuring compliance with Saudi Arabia’s legal code and Islamic principles.</w:t>
      </w:r>
    </w:p>
    <w:p>
      <w:pPr>
        <w:numPr>
          <w:ilvl w:val="0"/>
          <w:numId w:val="1002"/>
        </w:numPr>
        <w:pStyle w:val="Compact"/>
      </w:pPr>
      <w:r>
        <w:t xml:space="preserve">Delivered verdicts in high-profile cases involving commercial disputes, family law, and public order, maintaining the integrity of Riyadh’s judicial system.</w:t>
      </w:r>
    </w:p>
    <w:p>
      <w:pPr>
        <w:numPr>
          <w:ilvl w:val="0"/>
          <w:numId w:val="1002"/>
        </w:numPr>
        <w:pStyle w:val="Compact"/>
      </w:pPr>
      <w:r>
        <w:t xml:space="preserve">Collaborated with the Ministry of Justice to implement reforms aimed at improving case resolution efficiency in Riyadh.</w:t>
      </w:r>
    </w:p>
    <w:p>
      <w:pPr>
        <w:numPr>
          <w:ilvl w:val="0"/>
          <w:numId w:val="1002"/>
        </w:numPr>
        <w:pStyle w:val="Compact"/>
      </w:pPr>
      <w:r>
        <w:t xml:space="preserve">Provided legal guidance to junior judges and court staff, promoting a culture of professionalism and adherence to Sharia law.</w:t>
      </w:r>
    </w:p>
    <w:bookmarkEnd w:id="23"/>
    <w:bookmarkStart w:id="24" w:name="judge-riyadh-family-court"/>
    <w:p>
      <w:pPr>
        <w:pStyle w:val="Heading3"/>
      </w:pPr>
      <w:r>
        <w:t xml:space="preserve">Judge, Riyadh Family Court</w:t>
      </w:r>
    </w:p>
    <w:p>
      <w:pPr>
        <w:pStyle w:val="FirstParagraph"/>
      </w:pPr>
      <w:r>
        <w:rPr>
          <w:iCs/>
          <w:i/>
        </w:rPr>
        <w:t xml:space="preserve">July 2014 – December 2017</w:t>
      </w:r>
    </w:p>
    <w:p>
      <w:pPr>
        <w:numPr>
          <w:ilvl w:val="0"/>
          <w:numId w:val="1003"/>
        </w:numPr>
        <w:pStyle w:val="Compact"/>
      </w:pPr>
      <w:r>
        <w:t xml:space="preserve">Specialized in family law matters, including divorce, child custody, and inheritance disputes.</w:t>
      </w:r>
    </w:p>
    <w:p>
      <w:pPr>
        <w:numPr>
          <w:ilvl w:val="0"/>
          <w:numId w:val="1003"/>
        </w:numPr>
        <w:pStyle w:val="Compact"/>
      </w:pPr>
      <w:r>
        <w:t xml:space="preserve">Ensured decisions aligned with the principles of Sharia and the updated Family Law of Saudi Arabia.</w:t>
      </w:r>
    </w:p>
    <w:p>
      <w:pPr>
        <w:numPr>
          <w:ilvl w:val="0"/>
          <w:numId w:val="1003"/>
        </w:numPr>
        <w:pStyle w:val="Compact"/>
      </w:pPr>
      <w:r>
        <w:t xml:space="preserve">Conducted outreach programs to educate citizens in Riyadh about their legal rights and obligations under Islamic law.</w:t>
      </w:r>
    </w:p>
    <w:bookmarkEnd w:id="24"/>
    <w:bookmarkStart w:id="25" w:name="judge-makkah-regional-court"/>
    <w:p>
      <w:pPr>
        <w:pStyle w:val="Heading3"/>
      </w:pPr>
      <w:r>
        <w:t xml:space="preserve">Judge, Makkah Regional Court</w:t>
      </w:r>
    </w:p>
    <w:p>
      <w:pPr>
        <w:pStyle w:val="FirstParagraph"/>
      </w:pPr>
      <w:r>
        <w:rPr>
          <w:iCs/>
          <w:i/>
        </w:rPr>
        <w:t xml:space="preserve">March 2010 – June 2014</w:t>
      </w:r>
    </w:p>
    <w:p>
      <w:pPr>
        <w:numPr>
          <w:ilvl w:val="0"/>
          <w:numId w:val="1004"/>
        </w:numPr>
        <w:pStyle w:val="Compact"/>
      </w:pPr>
      <w:r>
        <w:t xml:space="preserve">Handled cases involving public order, criminal offenses, and administrative law.</w:t>
      </w:r>
    </w:p>
    <w:p>
      <w:pPr>
        <w:numPr>
          <w:ilvl w:val="0"/>
          <w:numId w:val="1004"/>
        </w:numPr>
        <w:pStyle w:val="Compact"/>
      </w:pPr>
      <w:r>
        <w:t xml:space="preserve">Contributed to the development of court protocols to enhance transparency and accessibility for residents of Makkah and surrounding areas.</w:t>
      </w:r>
    </w:p>
    <w:bookmarkEnd w:id="25"/>
    <w:bookmarkStart w:id="26" w:name="judge-trainee-riyadh-court-system"/>
    <w:p>
      <w:pPr>
        <w:pStyle w:val="Heading3"/>
      </w:pPr>
      <w:r>
        <w:t xml:space="preserve">Judge Trainee, Riyadh Court System</w:t>
      </w:r>
    </w:p>
    <w:p>
      <w:pPr>
        <w:pStyle w:val="FirstParagraph"/>
      </w:pPr>
      <w:r>
        <w:rPr>
          <w:iCs/>
          <w:i/>
        </w:rPr>
        <w:t xml:space="preserve">January 2009 – February 2010</w:t>
      </w:r>
    </w:p>
    <w:p>
      <w:pPr>
        <w:numPr>
          <w:ilvl w:val="0"/>
          <w:numId w:val="1005"/>
        </w:numPr>
        <w:pStyle w:val="Compact"/>
      </w:pPr>
      <w:r>
        <w:t xml:space="preserve">Underwent rigorous training in judicial procedures, ethics, and the application of Sharia law.</w:t>
      </w:r>
    </w:p>
    <w:p>
      <w:pPr>
        <w:numPr>
          <w:ilvl w:val="0"/>
          <w:numId w:val="1005"/>
        </w:numPr>
        <w:pStyle w:val="Compact"/>
      </w:pPr>
      <w:r>
        <w:t xml:space="preserve">Gained hands-on experience in assisting senior judges with case management and legal research.</w:t>
      </w:r>
    </w:p>
    <w:bookmarkEnd w:id="26"/>
    <w:bookmarkEnd w:id="27"/>
    <w:bookmarkStart w:id="28" w:name="certifications-and-licenses"/>
    <w:p>
      <w:pPr>
        <w:pStyle w:val="Heading2"/>
      </w:pPr>
      <w:r>
        <w:t xml:space="preserve">Certifications and Licenses</w:t>
      </w:r>
    </w:p>
    <w:p>
      <w:pPr>
        <w:numPr>
          <w:ilvl w:val="0"/>
          <w:numId w:val="1006"/>
        </w:numPr>
        <w:pStyle w:val="Compact"/>
      </w:pPr>
      <w:r>
        <w:rPr>
          <w:bCs/>
          <w:b/>
        </w:rPr>
        <w:t xml:space="preserve">License to Practice Law in Saudi Arabia</w:t>
      </w:r>
      <w:r>
        <w:t xml:space="preserve">, Ministry of Justice – 2008</w:t>
      </w:r>
    </w:p>
    <w:p>
      <w:pPr>
        <w:numPr>
          <w:ilvl w:val="0"/>
          <w:numId w:val="1006"/>
        </w:numPr>
        <w:pStyle w:val="Compact"/>
      </w:pPr>
      <w:r>
        <w:rPr>
          <w:bCs/>
          <w:b/>
        </w:rPr>
        <w:t xml:space="preserve">Specialized Certification in Islamic Jurisprudence (Fiqh)</w:t>
      </w:r>
      <w:r>
        <w:t xml:space="preserve">, King Abdulaziz Foundation for Research and Archives – 2013</w:t>
      </w:r>
    </w:p>
    <w:p>
      <w:pPr>
        <w:numPr>
          <w:ilvl w:val="0"/>
          <w:numId w:val="1006"/>
        </w:numPr>
        <w:pStyle w:val="Compact"/>
      </w:pPr>
      <w:r>
        <w:rPr>
          <w:bCs/>
          <w:b/>
        </w:rPr>
        <w:t xml:space="preserve">Advanced Training in Judicial Ethics</w:t>
      </w:r>
      <w:r>
        <w:t xml:space="preserve">, Saudi Judicial Council – 2017</w:t>
      </w:r>
    </w:p>
    <w:bookmarkEnd w:id="28"/>
    <w:bookmarkStart w:id="29" w:name="additional-skills"/>
    <w:p>
      <w:pPr>
        <w:pStyle w:val="Heading2"/>
      </w:pPr>
      <w:r>
        <w:t xml:space="preserve">Additional Skills</w:t>
      </w:r>
    </w:p>
    <w:p>
      <w:pPr>
        <w:numPr>
          <w:ilvl w:val="0"/>
          <w:numId w:val="1007"/>
        </w:numPr>
        <w:pStyle w:val="Compact"/>
      </w:pPr>
      <w:r>
        <w:t xml:space="preserve">Expertise in interpreting and applying Sharia law, including the Hanbali school of thought.</w:t>
      </w:r>
    </w:p>
    <w:p>
      <w:pPr>
        <w:numPr>
          <w:ilvl w:val="0"/>
          <w:numId w:val="1007"/>
        </w:numPr>
        <w:pStyle w:val="Compact"/>
      </w:pPr>
      <w:r>
        <w:t xml:space="preserve">Strong analytical and critical thinking skills for evaluating complex legal cases.</w:t>
      </w:r>
    </w:p>
    <w:p>
      <w:pPr>
        <w:numPr>
          <w:ilvl w:val="0"/>
          <w:numId w:val="1007"/>
        </w:numPr>
        <w:pStyle w:val="Compact"/>
      </w:pPr>
      <w:r>
        <w:t xml:space="preserve">Excellent communication and negotiation abilities to resolve disputes effectively.</w:t>
      </w:r>
    </w:p>
    <w:p>
      <w:pPr>
        <w:numPr>
          <w:ilvl w:val="0"/>
          <w:numId w:val="1007"/>
        </w:numPr>
        <w:pStyle w:val="Compact"/>
      </w:pPr>
      <w:r>
        <w:t xml:space="preserve">Familiarity with modern court technologies and digital case management systems used in Riyadh’s judiciary.</w:t>
      </w:r>
    </w:p>
    <w:bookmarkEnd w:id="29"/>
    <w:bookmarkStart w:id="30" w:name="languages"/>
    <w:p>
      <w:pPr>
        <w:pStyle w:val="Heading2"/>
      </w:pPr>
      <w:r>
        <w:t xml:space="preserve">Languages</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English:</w:t>
      </w:r>
      <w:r>
        <w:t xml:space="preserve"> </w:t>
      </w:r>
      <w:r>
        <w:t xml:space="preserve">Fluent (proficient in legal terminology)</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Saudi Legal Society</w:t>
      </w:r>
      <w:r>
        <w:t xml:space="preserve"> </w:t>
      </w:r>
      <w:r>
        <w:t xml:space="preserve">– Member since 2010</w:t>
      </w:r>
    </w:p>
    <w:p>
      <w:pPr>
        <w:numPr>
          <w:ilvl w:val="0"/>
          <w:numId w:val="1009"/>
        </w:numPr>
        <w:pStyle w:val="Compact"/>
      </w:pPr>
      <w:r>
        <w:rPr>
          <w:bCs/>
          <w:b/>
        </w:rPr>
        <w:t xml:space="preserve">International Association of Judges (IAJ)</w:t>
      </w:r>
      <w:r>
        <w:t xml:space="preserve"> </w:t>
      </w:r>
      <w:r>
        <w:t xml:space="preserve">– Member since 2015</w:t>
      </w:r>
    </w:p>
    <w:p>
      <w:pPr>
        <w:numPr>
          <w:ilvl w:val="0"/>
          <w:numId w:val="1009"/>
        </w:numPr>
        <w:pStyle w:val="Compact"/>
      </w:pPr>
      <w:r>
        <w:rPr>
          <w:bCs/>
          <w:b/>
        </w:rPr>
        <w:t xml:space="preserve">Riyadh Judicial Council</w:t>
      </w:r>
      <w:r>
        <w:t xml:space="preserve"> </w:t>
      </w:r>
      <w:r>
        <w:t xml:space="preserve">– Active participant in policy discussions and legal reforms.</w:t>
      </w:r>
    </w:p>
    <w:bookmarkEnd w:id="31"/>
    <w:bookmarkStart w:id="32" w:name="publications-and-contributions"/>
    <w:p>
      <w:pPr>
        <w:pStyle w:val="Heading2"/>
      </w:pPr>
      <w:r>
        <w:t xml:space="preserve">Publications and Contributions</w:t>
      </w:r>
    </w:p>
    <w:p>
      <w:pPr>
        <w:numPr>
          <w:ilvl w:val="0"/>
          <w:numId w:val="1010"/>
        </w:numPr>
        <w:pStyle w:val="Compact"/>
      </w:pPr>
      <w:r>
        <w:t xml:space="preserve">Published articles on Sharia law and its application in modern Saudi Arabia, featured in the Saudi Gazette and Al-Watan newspapers.</w:t>
      </w:r>
    </w:p>
    <w:p>
      <w:pPr>
        <w:numPr>
          <w:ilvl w:val="0"/>
          <w:numId w:val="1010"/>
        </w:numPr>
        <w:pStyle w:val="Compact"/>
      </w:pPr>
      <w:r>
        <w:t xml:space="preserve">Contributed to the drafting of guidelines for family law reforms in Riyadh, emphasizing gender equity and child welfare.</w:t>
      </w:r>
    </w:p>
    <w:p>
      <w:pPr>
        <w:numPr>
          <w:ilvl w:val="0"/>
          <w:numId w:val="1010"/>
        </w:numPr>
        <w:pStyle w:val="Compact"/>
      </w:pPr>
      <w:r>
        <w:t xml:space="preserve">Delivered lectures at legal seminars hosted by King Saud University, focusing on judicial ethics and the role of judges in societal development.</w:t>
      </w:r>
    </w:p>
    <w:bookmarkEnd w:id="32"/>
    <w:bookmarkStart w:id="33" w:name="references"/>
    <w:p>
      <w:pPr>
        <w:pStyle w:val="Heading2"/>
      </w:pPr>
      <w:r>
        <w:t xml:space="preserve">References</w:t>
      </w:r>
    </w:p>
    <w:p>
      <w:pPr>
        <w:pStyle w:val="FirstParagraph"/>
      </w:pPr>
      <w:r>
        <w:t xml:space="preserve">Available upon request. References include senior judges from Riyadh’s judicial system and legal scholars affiliated with King Saud University.</w:t>
      </w:r>
    </w:p>
    <w:bookmarkEnd w:id="33"/>
    <w:p>
      <w:pPr>
        <w:pStyle w:val="BodyText"/>
      </w:pPr>
      <w:r>
        <w:rPr>
          <w:bCs/>
          <w:b/>
        </w:rPr>
        <w:t xml:space="preserve">Resume for a Judge in Saudi Arabia, Riyadh</w:t>
      </w:r>
      <w:r>
        <w:t xml:space="preserve"> </w:t>
      </w:r>
      <w:r>
        <w:t xml:space="preserve">– A document crafted to reflect the highest standards of judicial excellence and alignment with Saudi Arabia’s legal traditions.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Judge Resume - Saudi Arabia Riyadh</dc:title>
  <dc:creator/>
  <dc:language>en</dc:language>
  <cp:keywords/>
  <dcterms:created xsi:type="dcterms:W3CDTF">2026-07-21T06:05:22Z</dcterms:created>
  <dcterms:modified xsi:type="dcterms:W3CDTF">2026-07-21T06:05:22Z</dcterms:modified>
</cp:coreProperties>
</file>

<file path=docProps/custom.xml><?xml version="1.0" encoding="utf-8"?>
<Properties xmlns="http://schemas.openxmlformats.org/officeDocument/2006/custom-properties" xmlns:vt="http://schemas.openxmlformats.org/officeDocument/2006/docPropsVTypes"/>
</file>