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lawyer-resume"/>
    <w:p>
      <w:pPr>
        <w:pStyle w:val="Heading1"/>
      </w:pPr>
      <w:r>
        <w:t xml:space="preserve">Lawyer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+60-12-345-6789</w:t>
      </w:r>
    </w:p>
    <w:p>
      <w:pPr>
        <w:pStyle w:val="BodyText"/>
      </w:pPr>
      <w:r>
        <w:rPr>
          <w:bCs/>
          <w:b/>
        </w:rPr>
        <w:t xml:space="preserve">Address:</w:t>
      </w:r>
      <w:r>
        <w:t xml:space="preserve"> </w:t>
      </w:r>
      <w:r>
        <w:t xml:space="preserve">123 Jalan Tun Razak, Kuala Lumpur, Malaysia</w:t>
      </w:r>
    </w:p>
    <w:bookmarkEnd w:id="20"/>
    <w:bookmarkStart w:id="21" w:name="professional-summary"/>
    <w:p>
      <w:pPr>
        <w:pStyle w:val="Heading2"/>
      </w:pPr>
      <w:r>
        <w:t xml:space="preserve">Professional Summary</w:t>
      </w:r>
    </w:p>
    <w:p>
      <w:pPr>
        <w:pStyle w:val="FirstParagraph"/>
      </w:pPr>
      <w:r>
        <w:t xml:space="preserve">A dedicated and experienced lawyer specializing in corporate law and dispute resolution, with a strong focus on the legal landscape of Malaysia Kuala Lumpur. With over [X years] of practice, I have developed a deep understanding of the Malaysian legal framework, including civil law, commercial regulations, and constitutional matters. My expertise lies in providing tailored legal solutions to clients operating within Malaysia’s dynamic business environment. As a member of the Malaysian Bar Council and a proactive advocate for justice in Kuala Lumpur, I am committed to upholding the highest ethical standards while navigating complex legal challenges. My career has been defined by a passion for justice, precision in legal analysis, and a commitment to serving clients across diverse industries in Malaysia’s capital city.</w:t>
      </w:r>
    </w:p>
    <w:bookmarkEnd w:id="21"/>
    <w:bookmarkStart w:id="24" w:name="legal-experience"/>
    <w:p>
      <w:pPr>
        <w:pStyle w:val="Heading2"/>
      </w:pPr>
      <w:r>
        <w:t xml:space="preserve">Legal Experience</w:t>
      </w:r>
    </w:p>
    <w:bookmarkStart w:id="22" w:name="senior-associate-lawyer"/>
    <w:p>
      <w:pPr>
        <w:pStyle w:val="Heading3"/>
      </w:pPr>
      <w:r>
        <w:t xml:space="preserve">Senior Associate Lawyer</w:t>
      </w:r>
    </w:p>
    <w:p>
      <w:pPr>
        <w:pStyle w:val="FirstParagraph"/>
      </w:pPr>
      <w:r>
        <w:rPr>
          <w:iCs/>
          <w:i/>
        </w:rPr>
        <w:t xml:space="preserve">[Law Firm Name], Kuala Lumpur, Malaysia</w:t>
      </w:r>
    </w:p>
    <w:p>
      <w:pPr>
        <w:pStyle w:val="BodyText"/>
      </w:pPr>
      <w:r>
        <w:rPr>
          <w:bCs/>
          <w:b/>
        </w:rPr>
        <w:t xml:space="preserve">March 2018 – Present</w:t>
      </w:r>
    </w:p>
    <w:p>
      <w:pPr>
        <w:numPr>
          <w:ilvl w:val="0"/>
          <w:numId w:val="1001"/>
        </w:numPr>
        <w:pStyle w:val="Compact"/>
      </w:pPr>
      <w:r>
        <w:t xml:space="preserve">Provided legal counsel to multinational corporations and local businesses on corporate governance, contractual obligations, and regulatory compliance in Malaysia. This included drafting and reviewing contracts aligned with the Malaysian Companies Act 2016.</w:t>
      </w:r>
    </w:p>
    <w:p>
      <w:pPr>
        <w:numPr>
          <w:ilvl w:val="0"/>
          <w:numId w:val="1001"/>
        </w:numPr>
        <w:pStyle w:val="Compact"/>
      </w:pPr>
      <w:r>
        <w:t xml:space="preserve">Represented clients in dispute resolution processes, including mediation, arbitration, and litigation within the Kuala Lumpur High Court. Successfully resolved [X] cases involving commercial disputes, employment law issues, and intellectual property rights.</w:t>
      </w:r>
    </w:p>
    <w:p>
      <w:pPr>
        <w:numPr>
          <w:ilvl w:val="0"/>
          <w:numId w:val="1001"/>
        </w:numPr>
        <w:pStyle w:val="Compact"/>
      </w:pPr>
      <w:r>
        <w:t xml:space="preserve">Advised on compliance with Malaysian labor laws and facilitated negotiations between employers and employees to minimize legal risks for businesses in KL.</w:t>
      </w:r>
    </w:p>
    <w:p>
      <w:pPr>
        <w:numPr>
          <w:ilvl w:val="0"/>
          <w:numId w:val="1001"/>
        </w:numPr>
        <w:pStyle w:val="Compact"/>
      </w:pPr>
      <w:r>
        <w:t xml:space="preserve">Collaborated with local authorities in Kuala Lumpur to ensure adherence to environmental regulations, particularly for clients in the construction and manufacturing sectors.</w:t>
      </w:r>
    </w:p>
    <w:bookmarkEnd w:id="22"/>
    <w:bookmarkStart w:id="23" w:name="associate-lawyer"/>
    <w:p>
      <w:pPr>
        <w:pStyle w:val="Heading3"/>
      </w:pPr>
      <w:r>
        <w:t xml:space="preserve">Associate Lawyer</w:t>
      </w:r>
    </w:p>
    <w:p>
      <w:pPr>
        <w:pStyle w:val="FirstParagraph"/>
      </w:pPr>
      <w:r>
        <w:rPr>
          <w:iCs/>
          <w:i/>
        </w:rPr>
        <w:t xml:space="preserve">[Another Law Firm Name], Kuala Lumpur, Malaysia</w:t>
      </w:r>
    </w:p>
    <w:p>
      <w:pPr>
        <w:pStyle w:val="BodyText"/>
      </w:pPr>
      <w:r>
        <w:rPr>
          <w:bCs/>
          <w:b/>
        </w:rPr>
        <w:t xml:space="preserve">June 2015 – February 2018</w:t>
      </w:r>
    </w:p>
    <w:p>
      <w:pPr>
        <w:numPr>
          <w:ilvl w:val="0"/>
          <w:numId w:val="1002"/>
        </w:numPr>
        <w:pStyle w:val="Compact"/>
      </w:pPr>
      <w:r>
        <w:t xml:space="preserve">Assisted in the preparation of legal documents for mergers and acquisitions, ensuring compliance with Malaysian corporate law and tax regulations.</w:t>
      </w:r>
    </w:p>
    <w:p>
      <w:pPr>
        <w:numPr>
          <w:ilvl w:val="0"/>
          <w:numId w:val="1002"/>
        </w:numPr>
        <w:pStyle w:val="Compact"/>
      </w:pPr>
      <w:r>
        <w:t xml:space="preserve">Conducted legal research on landmark cases in Malaysian courts to support case strategies for clients in Kuala Lumpur. This included analyzing precedents from the Federal Court and High Courts.</w:t>
      </w:r>
    </w:p>
    <w:p>
      <w:pPr>
        <w:numPr>
          <w:ilvl w:val="0"/>
          <w:numId w:val="1002"/>
        </w:numPr>
        <w:pStyle w:val="Compact"/>
      </w:pPr>
      <w:r>
        <w:t xml:space="preserve">Supported senior lawyers in drafting legal opinions on real estate transactions, focusing on property laws specific to Malaysia’s capital city.</w:t>
      </w:r>
    </w:p>
    <w:p>
      <w:pPr>
        <w:numPr>
          <w:ilvl w:val="0"/>
          <w:numId w:val="1002"/>
        </w:numPr>
        <w:pStyle w:val="Compact"/>
      </w:pPr>
      <w:r>
        <w:t xml:space="preserve">Participated in community legal clinics in Kuala Lumpur, offering free consultation to underserved populations and promoting awareness of their legal rights under Malaysian law.</w:t>
      </w:r>
    </w:p>
    <w:bookmarkEnd w:id="23"/>
    <w:bookmarkEnd w:id="24"/>
    <w:bookmarkStart w:id="25" w:name="education"/>
    <w:p>
      <w:pPr>
        <w:pStyle w:val="Heading2"/>
      </w:pPr>
      <w:r>
        <w:t xml:space="preserve">Education</w:t>
      </w:r>
    </w:p>
    <w:p>
      <w:pPr>
        <w:pStyle w:val="FirstParagraph"/>
      </w:pPr>
      <w:r>
        <w:rPr>
          <w:bCs/>
          <w:b/>
        </w:rPr>
        <w:t xml:space="preserve">Bachelor of Laws (Hons)</w:t>
      </w:r>
    </w:p>
    <w:p>
      <w:pPr>
        <w:pStyle w:val="BodyText"/>
      </w:pPr>
      <w:r>
        <w:rPr>
          <w:iCs/>
          <w:i/>
        </w:rPr>
        <w:t xml:space="preserve">Universiti Malaya, Kuala Lumpur, Malaysia</w:t>
      </w:r>
    </w:p>
    <w:p>
      <w:pPr>
        <w:pStyle w:val="BodyText"/>
      </w:pPr>
      <w:r>
        <w:rPr>
          <w:bCs/>
          <w:b/>
        </w:rPr>
        <w:t xml:space="preserve">Graduated:</w:t>
      </w:r>
      <w:r>
        <w:t xml:space="preserve"> </w:t>
      </w:r>
      <w:r>
        <w:t xml:space="preserve">[Year]</w:t>
      </w:r>
    </w:p>
    <w:p>
      <w:pPr>
        <w:numPr>
          <w:ilvl w:val="0"/>
          <w:numId w:val="1003"/>
        </w:numPr>
        <w:pStyle w:val="Compact"/>
      </w:pPr>
      <w:r>
        <w:t xml:space="preserve">Distinguished academic performance in subjects such as Malaysian Constitutional Law, Criminal Law, and Commercial Law.</w:t>
      </w:r>
    </w:p>
    <w:p>
      <w:pPr>
        <w:numPr>
          <w:ilvl w:val="0"/>
          <w:numId w:val="1003"/>
        </w:numPr>
        <w:pStyle w:val="Compact"/>
      </w:pPr>
      <w:r>
        <w:t xml:space="preserve">Participated in the university’s moot court competitions, representing Malaysia in regional legal debates.</w:t>
      </w:r>
    </w:p>
    <w:p>
      <w:pPr>
        <w:pStyle w:val="FirstParagraph"/>
      </w:pPr>
      <w:r>
        <w:rPr>
          <w:bCs/>
          <w:b/>
        </w:rPr>
        <w:t xml:space="preserve">Postgraduate Certificate in Legal Practice</w:t>
      </w:r>
    </w:p>
    <w:p>
      <w:pPr>
        <w:pStyle w:val="BodyText"/>
      </w:pPr>
      <w:r>
        <w:rPr>
          <w:iCs/>
          <w:i/>
        </w:rPr>
        <w:t xml:space="preserve">Malaysian Bar Council, Kuala Lumpur, Malaysia</w:t>
      </w:r>
    </w:p>
    <w:p>
      <w:pPr>
        <w:pStyle w:val="BodyText"/>
      </w:pPr>
      <w:r>
        <w:rPr>
          <w:bCs/>
          <w:b/>
        </w:rPr>
        <w:t xml:space="preserve">Completed:</w:t>
      </w:r>
      <w:r>
        <w:t xml:space="preserve"> </w:t>
      </w:r>
      <w:r>
        <w:t xml:space="preserve">[Year]</w:t>
      </w:r>
    </w:p>
    <w:bookmarkEnd w:id="25"/>
    <w:bookmarkStart w:id="26" w:name="skills-expertise"/>
    <w:p>
      <w:pPr>
        <w:pStyle w:val="Heading2"/>
      </w:pPr>
      <w:r>
        <w:t xml:space="preserve">Skills &amp; Expertise</w:t>
      </w:r>
    </w:p>
    <w:p>
      <w:pPr>
        <w:numPr>
          <w:ilvl w:val="0"/>
          <w:numId w:val="1004"/>
        </w:numPr>
        <w:pStyle w:val="Compact"/>
      </w:pPr>
      <w:r>
        <w:rPr>
          <w:bCs/>
          <w:b/>
        </w:rPr>
        <w:t xml:space="preserve">Law Practice in Malaysia:</w:t>
      </w:r>
      <w:r>
        <w:t xml:space="preserve"> </w:t>
      </w:r>
      <w:r>
        <w:t xml:space="preserve">Proficient in navigating the legal systems of Malaysia, including the civil law framework and common law principles applicable to Kuala Lumpur.</w:t>
      </w:r>
    </w:p>
    <w:p>
      <w:pPr>
        <w:numPr>
          <w:ilvl w:val="0"/>
          <w:numId w:val="1004"/>
        </w:numPr>
        <w:pStyle w:val="Compact"/>
      </w:pPr>
      <w:r>
        <w:rPr>
          <w:bCs/>
          <w:b/>
        </w:rPr>
        <w:t xml:space="preserve">Dispute Resolution:</w:t>
      </w:r>
      <w:r>
        <w:t xml:space="preserve"> </w:t>
      </w:r>
      <w:r>
        <w:t xml:space="preserve">Skilled in mediation, arbitration, and litigation within Malaysian courts. Experienced in handling cases from initial filing to final judgment.</w:t>
      </w:r>
    </w:p>
    <w:p>
      <w:pPr>
        <w:numPr>
          <w:ilvl w:val="0"/>
          <w:numId w:val="1004"/>
        </w:numPr>
        <w:pStyle w:val="Compact"/>
      </w:pPr>
      <w:r>
        <w:rPr>
          <w:bCs/>
          <w:b/>
        </w:rPr>
        <w:t xml:space="preserve">Corporate Law:</w:t>
      </w:r>
      <w:r>
        <w:t xml:space="preserve"> </w:t>
      </w:r>
      <w:r>
        <w:t xml:space="preserve">Expertise in corporate governance, mergers and acquisitions, and compliance with Malaysian regulatory bodies like the Securities Commission and the Companies Commission of Malaysia.</w:t>
      </w:r>
    </w:p>
    <w:p>
      <w:pPr>
        <w:numPr>
          <w:ilvl w:val="0"/>
          <w:numId w:val="1004"/>
        </w:numPr>
        <w:pStyle w:val="Compact"/>
      </w:pPr>
      <w:r>
        <w:rPr>
          <w:bCs/>
          <w:b/>
        </w:rPr>
        <w:t xml:space="preserve">Legal Research &amp; Writing:</w:t>
      </w:r>
      <w:r>
        <w:t xml:space="preserve"> </w:t>
      </w:r>
      <w:r>
        <w:t xml:space="preserve">Advanced ability to conduct thorough legal research using Malaysian legal databases such as LEXIS-NEXIS and Westlaw Asia. Strong drafting skills for court documents, contracts, and legal opinions.</w:t>
      </w:r>
    </w:p>
    <w:p>
      <w:pPr>
        <w:numPr>
          <w:ilvl w:val="0"/>
          <w:numId w:val="1004"/>
        </w:numPr>
        <w:pStyle w:val="Compact"/>
      </w:pPr>
      <w:r>
        <w:rPr>
          <w:bCs/>
          <w:b/>
        </w:rPr>
        <w:t xml:space="preserve">Languages:</w:t>
      </w:r>
      <w:r>
        <w:t xml:space="preserve"> </w:t>
      </w:r>
      <w:r>
        <w:t xml:space="preserve">Fluent in English and Malay, with intermediate proficiency in Mandarin (essential for serving diverse clients in Kuala Lumpur).</w:t>
      </w:r>
    </w:p>
    <w:bookmarkEnd w:id="26"/>
    <w:bookmarkStart w:id="27" w:name="certifications-memberships"/>
    <w:p>
      <w:pPr>
        <w:pStyle w:val="Heading2"/>
      </w:pPr>
      <w:r>
        <w:t xml:space="preserve">Certifications &amp; Memberships</w:t>
      </w:r>
    </w:p>
    <w:p>
      <w:pPr>
        <w:numPr>
          <w:ilvl w:val="0"/>
          <w:numId w:val="1005"/>
        </w:numPr>
        <w:pStyle w:val="Compact"/>
      </w:pPr>
      <w:r>
        <w:rPr>
          <w:bCs/>
          <w:b/>
        </w:rPr>
        <w:t xml:space="preserve">Member of the Malaysian Bar Council</w:t>
      </w:r>
      <w:r>
        <w:t xml:space="preserve"> </w:t>
      </w:r>
      <w:r>
        <w:t xml:space="preserve">(Registered Number: [XXX])</w:t>
      </w:r>
    </w:p>
    <w:p>
      <w:pPr>
        <w:numPr>
          <w:ilvl w:val="0"/>
          <w:numId w:val="1005"/>
        </w:numPr>
        <w:pStyle w:val="Compact"/>
      </w:pPr>
      <w:r>
        <w:rPr>
          <w:bCs/>
          <w:b/>
        </w:rPr>
        <w:t xml:space="preserve">Qualified Legal Practitioner (QLP)</w:t>
      </w:r>
      <w:r>
        <w:t xml:space="preserve">, awarded by the Malaysian Bar Council.</w:t>
      </w:r>
    </w:p>
    <w:p>
      <w:pPr>
        <w:numPr>
          <w:ilvl w:val="0"/>
          <w:numId w:val="1005"/>
        </w:numPr>
        <w:pStyle w:val="Compact"/>
      </w:pPr>
      <w:r>
        <w:rPr>
          <w:bCs/>
          <w:b/>
        </w:rPr>
        <w:t xml:space="preserve">Certified Mediator</w:t>
      </w:r>
      <w:r>
        <w:t xml:space="preserve">, accredited by the Centre for Dispute Resolution, Kuala Lumpur.</w:t>
      </w:r>
    </w:p>
    <w:p>
      <w:pPr>
        <w:numPr>
          <w:ilvl w:val="0"/>
          <w:numId w:val="1005"/>
        </w:numPr>
        <w:pStyle w:val="Compact"/>
      </w:pPr>
      <w:r>
        <w:rPr>
          <w:bCs/>
          <w:b/>
        </w:rPr>
        <w:t xml:space="preserve">Professional Development Courses:</w:t>
      </w:r>
      <w:r>
        <w:t xml:space="preserve"> </w:t>
      </w:r>
      <w:r>
        <w:t xml:space="preserve">Completed programs on Malaysian corporate law, international trade regulations, and legal ethics in Kuala Lumpur.</w:t>
      </w:r>
    </w:p>
    <w:bookmarkEnd w:id="27"/>
    <w:bookmarkStart w:id="28" w:name="languages"/>
    <w:p>
      <w:pPr>
        <w:pStyle w:val="Heading2"/>
      </w:pPr>
      <w:r>
        <w:t xml:space="preserve">Languages</w:t>
      </w:r>
    </w:p>
    <w:p>
      <w:pPr>
        <w:numPr>
          <w:ilvl w:val="0"/>
          <w:numId w:val="1006"/>
        </w:numPr>
        <w:pStyle w:val="Compact"/>
      </w:pPr>
      <w:r>
        <w:t xml:space="preserve">Malay (Native)</w:t>
      </w:r>
    </w:p>
    <w:p>
      <w:pPr>
        <w:numPr>
          <w:ilvl w:val="0"/>
          <w:numId w:val="1006"/>
        </w:numPr>
        <w:pStyle w:val="Compact"/>
      </w:pPr>
      <w:r>
        <w:t xml:space="preserve">English (Proficient)</w:t>
      </w:r>
    </w:p>
    <w:p>
      <w:pPr>
        <w:numPr>
          <w:ilvl w:val="0"/>
          <w:numId w:val="1006"/>
        </w:numPr>
        <w:pStyle w:val="Compact"/>
      </w:pPr>
      <w:r>
        <w:t xml:space="preserve">Mandarin (Intermediate)</w:t>
      </w:r>
    </w:p>
    <w:bookmarkEnd w:id="28"/>
    <w:bookmarkStart w:id="29" w:name="additional-information"/>
    <w:p>
      <w:pPr>
        <w:pStyle w:val="Heading2"/>
      </w:pPr>
      <w:r>
        <w:t xml:space="preserve">Additional Information</w:t>
      </w:r>
    </w:p>
    <w:p>
      <w:pPr>
        <w:pStyle w:val="FirstParagraph"/>
      </w:pPr>
      <w:r>
        <w:rPr>
          <w:bCs/>
          <w:b/>
        </w:rPr>
        <w:t xml:space="preserve">Pro Bono Work:</w:t>
      </w:r>
      <w:r>
        <w:t xml:space="preserve"> </w:t>
      </w:r>
      <w:r>
        <w:t xml:space="preserve">Regularly volunteer with NGOs in Kuala Lumpur to provide legal support to low-income families, including family law and housing rights cases.</w:t>
      </w:r>
    </w:p>
    <w:p>
      <w:pPr>
        <w:pStyle w:val="BodyText"/>
      </w:pPr>
      <w:r>
        <w:rPr>
          <w:bCs/>
          <w:b/>
        </w:rPr>
        <w:t xml:space="preserve">Community Engagement:</w:t>
      </w:r>
      <w:r>
        <w:t xml:space="preserve"> </w:t>
      </w:r>
      <w:r>
        <w:t xml:space="preserve">Active participant in the Malaysian Legal Aid Society, focusing on improving access to justice for marginalized communities in Kuala Lumpur.</w:t>
      </w:r>
    </w:p>
    <w:p>
      <w:pPr>
        <w:pStyle w:val="BodyText"/>
      </w:pPr>
      <w:r>
        <w:rPr>
          <w:bCs/>
          <w:b/>
        </w:rPr>
        <w:t xml:space="preserve">Professional Interests:</w:t>
      </w:r>
      <w:r>
        <w:t xml:space="preserve"> </w:t>
      </w:r>
      <w:r>
        <w:t xml:space="preserve">Passionate about legal innovation and the integration of technology in law practice, particularly within Malaysia’s evolving digital economy.</w:t>
      </w:r>
    </w:p>
    <w:bookmarkEnd w:id="29"/>
    <w:bookmarkStart w:id="30" w:name="references"/>
    <w:p>
      <w:pPr>
        <w:pStyle w:val="Heading2"/>
      </w:pPr>
      <w:r>
        <w:t xml:space="preserve">References</w:t>
      </w:r>
    </w:p>
    <w:p>
      <w:pPr>
        <w:pStyle w:val="FirstParagraph"/>
      </w:pPr>
      <w:r>
        <w:t xml:space="preserve">Available upon request. References include senior partners from leading law firms in Kuala Lumpur and local legal institutions.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Malaysia Kuala Lumpur</dc:title>
  <dc:creator/>
  <dc:language>en</dc:language>
  <cp:keywords/>
  <dcterms:created xsi:type="dcterms:W3CDTF">2026-07-21T03:30:25Z</dcterms:created>
  <dcterms:modified xsi:type="dcterms:W3CDTF">2026-07-21T03:30:25Z</dcterms:modified>
</cp:coreProperties>
</file>

<file path=docProps/custom.xml><?xml version="1.0" encoding="utf-8"?>
<Properties xmlns="http://schemas.openxmlformats.org/officeDocument/2006/custom-properties" xmlns:vt="http://schemas.openxmlformats.org/officeDocument/2006/docPropsVTypes"/>
</file>